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31D5E" w14:textId="35470207" w:rsidR="00A84B34" w:rsidRDefault="00A84B34" w:rsidP="00A84B34">
      <w:pPr>
        <w:spacing w:before="100" w:beforeAutospacing="1" w:after="100" w:afterAutospacing="1"/>
        <w:rPr>
          <w:rFonts w:ascii="Times New Roman" w:eastAsia="Times New Roman" w:hAnsi="Times New Roman" w:cs="Times New Roman"/>
          <w:kern w:val="0"/>
          <w:lang w:eastAsia="fr-FR"/>
          <w14:ligatures w14:val="none"/>
        </w:rPr>
      </w:pPr>
      <w:r w:rsidRPr="00A84B34">
        <w:rPr>
          <w:rFonts w:ascii="Times New Roman" w:eastAsia="Times New Roman" w:hAnsi="Times New Roman" w:cs="Times New Roman"/>
          <w:kern w:val="0"/>
          <w:highlight w:val="yellow"/>
          <w:lang w:eastAsia="fr-FR"/>
          <w14:ligatures w14:val="none"/>
        </w:rPr>
        <w:t>Nom de l’association</w:t>
      </w:r>
      <w:r w:rsidR="00CD58F5">
        <w:rPr>
          <w:rFonts w:ascii="Times New Roman" w:eastAsia="Times New Roman" w:hAnsi="Times New Roman" w:cs="Times New Roman"/>
          <w:kern w:val="0"/>
          <w:highlight w:val="yellow"/>
          <w:lang w:eastAsia="fr-FR"/>
          <w14:ligatures w14:val="none"/>
        </w:rPr>
        <w:t>/personne</w:t>
      </w:r>
      <w:r w:rsidRPr="00A84B34">
        <w:rPr>
          <w:rFonts w:ascii="Times New Roman" w:eastAsia="Times New Roman" w:hAnsi="Times New Roman" w:cs="Times New Roman"/>
          <w:kern w:val="0"/>
          <w:highlight w:val="yellow"/>
          <w:lang w:eastAsia="fr-FR"/>
          <w14:ligatures w14:val="none"/>
        </w:rPr>
        <w:br/>
        <w:t>Nom du Responsable</w:t>
      </w:r>
      <w:r w:rsidRPr="00A84B34">
        <w:rPr>
          <w:rFonts w:ascii="Times New Roman" w:eastAsia="Times New Roman" w:hAnsi="Times New Roman" w:cs="Times New Roman"/>
          <w:kern w:val="0"/>
          <w:highlight w:val="yellow"/>
          <w:lang w:eastAsia="fr-FR"/>
          <w14:ligatures w14:val="none"/>
        </w:rPr>
        <w:br/>
        <w:t>Adresse</w:t>
      </w:r>
    </w:p>
    <w:p w14:paraId="1D0A63C9" w14:textId="27252D25" w:rsidR="00DD70C8" w:rsidRPr="00BC0444" w:rsidRDefault="00DD70C8" w:rsidP="00DD70C8">
      <w:pPr>
        <w:spacing w:before="100" w:beforeAutospacing="1" w:after="100" w:afterAutospacing="1"/>
        <w:ind w:left="5387"/>
        <w:rPr>
          <w:rFonts w:ascii="Times New Roman" w:eastAsia="Times New Roman" w:hAnsi="Times New Roman" w:cs="Times New Roman"/>
          <w:kern w:val="0"/>
          <w:lang w:eastAsia="fr-FR"/>
          <w14:ligatures w14:val="none"/>
        </w:rPr>
      </w:pPr>
      <w:r w:rsidRPr="00BC0444">
        <w:rPr>
          <w:rFonts w:ascii="Times New Roman" w:eastAsia="Times New Roman" w:hAnsi="Times New Roman" w:cs="Times New Roman"/>
          <w:kern w:val="0"/>
          <w:lang w:eastAsia="fr-FR"/>
          <w14:ligatures w14:val="none"/>
        </w:rPr>
        <w:t>À l'attention du Département fédéral de l'environnement, des transports, de l'énergie et de la communication (DETEC)</w:t>
      </w:r>
      <w:r w:rsidR="008765E7">
        <w:rPr>
          <w:rFonts w:ascii="Times New Roman" w:eastAsia="Times New Roman" w:hAnsi="Times New Roman" w:cs="Times New Roman"/>
          <w:kern w:val="0"/>
          <w:lang w:eastAsia="fr-FR"/>
          <w14:ligatures w14:val="none"/>
        </w:rPr>
        <w:br/>
        <w:t>Palais fédéral Nord</w:t>
      </w:r>
      <w:r w:rsidR="008765E7">
        <w:rPr>
          <w:rFonts w:ascii="Times New Roman" w:eastAsia="Times New Roman" w:hAnsi="Times New Roman" w:cs="Times New Roman"/>
          <w:kern w:val="0"/>
          <w:lang w:eastAsia="fr-FR"/>
          <w14:ligatures w14:val="none"/>
        </w:rPr>
        <w:br/>
        <w:t>3003 Berne</w:t>
      </w:r>
    </w:p>
    <w:p w14:paraId="32A2D82F" w14:textId="77777777" w:rsidR="00DD70C8" w:rsidRDefault="00A84B34" w:rsidP="00DD70C8">
      <w:pPr>
        <w:spacing w:before="100" w:beforeAutospacing="1" w:after="100" w:afterAutospacing="1"/>
        <w:ind w:left="5529" w:hanging="142"/>
        <w:rPr>
          <w:rFonts w:ascii="Times New Roman" w:eastAsia="Times New Roman" w:hAnsi="Times New Roman" w:cs="Times New Roman"/>
          <w:kern w:val="0"/>
          <w:lang w:eastAsia="fr-FR"/>
          <w14:ligatures w14:val="none"/>
        </w:rPr>
      </w:pPr>
      <w:r w:rsidRPr="00A84B34">
        <w:rPr>
          <w:rFonts w:ascii="Times New Roman" w:eastAsia="Times New Roman" w:hAnsi="Times New Roman" w:cs="Times New Roman"/>
          <w:kern w:val="0"/>
          <w:highlight w:val="yellow"/>
          <w:lang w:eastAsia="fr-FR"/>
          <w14:ligatures w14:val="none"/>
        </w:rPr>
        <w:t xml:space="preserve">Lieu et date </w:t>
      </w:r>
      <w:r w:rsidR="00DD70C8" w:rsidRPr="00A84B34">
        <w:rPr>
          <w:rFonts w:ascii="Times New Roman" w:eastAsia="Times New Roman" w:hAnsi="Times New Roman" w:cs="Times New Roman"/>
          <w:kern w:val="0"/>
          <w:highlight w:val="yellow"/>
          <w:lang w:eastAsia="fr-FR"/>
          <w14:ligatures w14:val="none"/>
        </w:rPr>
        <w:t>2026</w:t>
      </w:r>
    </w:p>
    <w:p w14:paraId="2C4C4576" w14:textId="77777777" w:rsidR="00DD70C8" w:rsidRPr="00544827" w:rsidRDefault="00DD70C8" w:rsidP="00DD70C8">
      <w:pPr>
        <w:spacing w:before="100" w:beforeAutospacing="1" w:after="100" w:afterAutospacing="1"/>
        <w:ind w:left="5529" w:hanging="142"/>
        <w:rPr>
          <w:rFonts w:ascii="Times New Roman" w:eastAsia="Times New Roman" w:hAnsi="Times New Roman" w:cs="Times New Roman"/>
          <w:kern w:val="0"/>
          <w:lang w:eastAsia="fr-FR"/>
          <w14:ligatures w14:val="none"/>
        </w:rPr>
      </w:pPr>
    </w:p>
    <w:p w14:paraId="0511972A" w14:textId="77777777" w:rsidR="00DD70C8" w:rsidRPr="002B03DD" w:rsidRDefault="00DD70C8" w:rsidP="00DD70C8">
      <w:pPr>
        <w:pStyle w:val="Titre1"/>
        <w:rPr>
          <w:sz w:val="32"/>
          <w:szCs w:val="32"/>
        </w:rPr>
      </w:pPr>
      <w:r w:rsidRPr="008A2E2B">
        <w:rPr>
          <w:sz w:val="32"/>
          <w:szCs w:val="32"/>
        </w:rPr>
        <w:t>Révision de la loi fédérale sur la chasse et la protection des mammifères et oiseaux sauvages (LChP)</w:t>
      </w:r>
      <w:r>
        <w:rPr>
          <w:sz w:val="32"/>
          <w:szCs w:val="32"/>
        </w:rPr>
        <w:t xml:space="preserve">. </w:t>
      </w:r>
      <w:r w:rsidRPr="002B03DD">
        <w:rPr>
          <w:sz w:val="32"/>
          <w:szCs w:val="32"/>
        </w:rPr>
        <w:t>Mise en œuvre des motions 25.3715 Friedli et 25.3549 Broulis</w:t>
      </w:r>
    </w:p>
    <w:p w14:paraId="0EE0CAD3" w14:textId="77777777" w:rsidR="00DD70C8" w:rsidRPr="00BC0444" w:rsidRDefault="00DD70C8" w:rsidP="00DD70C8">
      <w:pPr>
        <w:pStyle w:val="Titre3"/>
        <w:rPr>
          <w:sz w:val="32"/>
          <w:szCs w:val="32"/>
        </w:rPr>
      </w:pPr>
      <w:r w:rsidRPr="002B03DD">
        <w:rPr>
          <w:sz w:val="32"/>
          <w:szCs w:val="32"/>
        </w:rPr>
        <w:t>Prise de position dans le cadre de la procédure de consultation</w:t>
      </w:r>
    </w:p>
    <w:p w14:paraId="60D1CCB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Madame, Monsieur,</w:t>
      </w:r>
    </w:p>
    <w:p w14:paraId="6BA6FD3D" w14:textId="433B39AE" w:rsidR="00DD70C8" w:rsidRPr="00DD70C8" w:rsidRDefault="00A84B34" w:rsidP="00DD70C8">
      <w:pPr>
        <w:spacing w:before="100" w:beforeAutospacing="1" w:after="100" w:afterAutospacing="1"/>
        <w:rPr>
          <w:rFonts w:ascii="Times New Roman" w:eastAsia="Times New Roman" w:hAnsi="Times New Roman" w:cs="Times New Roman"/>
          <w:kern w:val="0"/>
          <w:lang w:eastAsia="fr-FR"/>
          <w14:ligatures w14:val="none"/>
        </w:rPr>
      </w:pPr>
      <w:r w:rsidRPr="00A84B34">
        <w:rPr>
          <w:rFonts w:ascii="Times New Roman" w:eastAsia="Times New Roman" w:hAnsi="Times New Roman" w:cs="Times New Roman"/>
          <w:kern w:val="0"/>
          <w:highlight w:val="yellow"/>
          <w:lang w:eastAsia="fr-FR"/>
          <w14:ligatures w14:val="none"/>
        </w:rPr>
        <w:t>Nom de l’associatio</w:t>
      </w:r>
      <w:r w:rsidR="00CD58F5">
        <w:rPr>
          <w:rFonts w:ascii="Times New Roman" w:eastAsia="Times New Roman" w:hAnsi="Times New Roman" w:cs="Times New Roman"/>
          <w:kern w:val="0"/>
          <w:highlight w:val="yellow"/>
          <w:lang w:eastAsia="fr-FR"/>
          <w14:ligatures w14:val="none"/>
        </w:rPr>
        <w:t>n (</w:t>
      </w:r>
      <w:r w:rsidR="004E51E5">
        <w:rPr>
          <w:rFonts w:ascii="Times New Roman" w:eastAsia="Times New Roman" w:hAnsi="Times New Roman" w:cs="Times New Roman"/>
          <w:kern w:val="0"/>
          <w:highlight w:val="yellow"/>
          <w:lang w:eastAsia="fr-FR"/>
          <w14:ligatures w14:val="none"/>
        </w:rPr>
        <w:t xml:space="preserve">personnes privées : mettre </w:t>
      </w:r>
      <w:proofErr w:type="gramStart"/>
      <w:r w:rsidR="004E51E5">
        <w:rPr>
          <w:rFonts w:ascii="Times New Roman" w:eastAsia="Times New Roman" w:hAnsi="Times New Roman" w:cs="Times New Roman"/>
          <w:kern w:val="0"/>
          <w:highlight w:val="yellow"/>
          <w:lang w:eastAsia="fr-FR"/>
          <w14:ligatures w14:val="none"/>
        </w:rPr>
        <w:t>« </w:t>
      </w:r>
      <w:r w:rsidR="00CD58F5">
        <w:rPr>
          <w:rFonts w:ascii="Times New Roman" w:eastAsia="Times New Roman" w:hAnsi="Times New Roman" w:cs="Times New Roman"/>
          <w:kern w:val="0"/>
          <w:highlight w:val="yellow"/>
          <w:lang w:eastAsia="fr-FR"/>
          <w14:ligatures w14:val="none"/>
        </w:rPr>
        <w:t> je</w:t>
      </w:r>
      <w:proofErr w:type="gramEnd"/>
      <w:r w:rsidR="00CD58F5">
        <w:rPr>
          <w:rFonts w:ascii="Times New Roman" w:eastAsia="Times New Roman" w:hAnsi="Times New Roman" w:cs="Times New Roman"/>
          <w:kern w:val="0"/>
          <w:highlight w:val="yellow"/>
          <w:lang w:eastAsia="fr-FR"/>
          <w14:ligatures w14:val="none"/>
        </w:rPr>
        <w:t xml:space="preserve"> » </w:t>
      </w:r>
      <w:r w:rsidR="004E51E5">
        <w:rPr>
          <w:rFonts w:ascii="Times New Roman" w:eastAsia="Times New Roman" w:hAnsi="Times New Roman" w:cs="Times New Roman"/>
          <w:kern w:val="0"/>
          <w:highlight w:val="yellow"/>
          <w:lang w:eastAsia="fr-FR"/>
          <w14:ligatures w14:val="none"/>
        </w:rPr>
        <w:t>et modifier le contenu</w:t>
      </w:r>
      <w:r w:rsidR="00CD58F5">
        <w:rPr>
          <w:rFonts w:ascii="Times New Roman" w:eastAsia="Times New Roman" w:hAnsi="Times New Roman" w:cs="Times New Roman"/>
          <w:kern w:val="0"/>
          <w:highlight w:val="yellow"/>
          <w:lang w:eastAsia="fr-FR"/>
          <w14:ligatures w14:val="none"/>
        </w:rPr>
        <w:t>)</w:t>
      </w:r>
      <w:r w:rsidR="00CD58F5">
        <w:rPr>
          <w:rFonts w:ascii="Times New Roman" w:eastAsia="Times New Roman" w:hAnsi="Times New Roman" w:cs="Times New Roman"/>
          <w:kern w:val="0"/>
          <w:lang w:eastAsia="fr-FR"/>
          <w14:ligatures w14:val="none"/>
        </w:rPr>
        <w:t xml:space="preserve"> </w:t>
      </w:r>
      <w:r w:rsidR="00DD70C8" w:rsidRPr="00DD70C8">
        <w:rPr>
          <w:rFonts w:ascii="Times New Roman" w:eastAsia="Times New Roman" w:hAnsi="Times New Roman" w:cs="Times New Roman"/>
          <w:kern w:val="0"/>
          <w:lang w:eastAsia="fr-FR"/>
          <w14:ligatures w14:val="none"/>
        </w:rPr>
        <w:t>vous remercie de la possibilité qui lui est donnée de prendre position dans le cadre de la consultation relative à la révision de la loi fédérale sur la chasse et la protection des mammifères et oiseaux sauvages.</w:t>
      </w:r>
    </w:p>
    <w:p w14:paraId="004E03ED" w14:textId="1CCAC60E"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Nous sommes conscients des difficultés que peut poser la présence du loup pour certaines exploitations agricoles et de la nécessité de disposer de moyens d’intervention lorsqu’un individu</w:t>
      </w:r>
      <w:r w:rsidR="00F11DE1">
        <w:rPr>
          <w:rFonts w:ascii="Times New Roman" w:eastAsia="Times New Roman" w:hAnsi="Times New Roman" w:cs="Times New Roman"/>
          <w:kern w:val="0"/>
          <w:lang w:eastAsia="fr-FR"/>
          <w14:ligatures w14:val="none"/>
        </w:rPr>
        <w:t>, voire parfois une meute,</w:t>
      </w:r>
      <w:r w:rsidRPr="00DD70C8">
        <w:rPr>
          <w:rFonts w:ascii="Times New Roman" w:eastAsia="Times New Roman" w:hAnsi="Times New Roman" w:cs="Times New Roman"/>
          <w:kern w:val="0"/>
          <w:lang w:eastAsia="fr-FR"/>
          <w14:ligatures w14:val="none"/>
        </w:rPr>
        <w:t xml:space="preserve"> représente effectivement un danger pour l’homme ou cause, malgré des mesures de protection adéquates, des dommages importants et répétés.</w:t>
      </w:r>
    </w:p>
    <w:p w14:paraId="4BF94AD4" w14:textId="68346E7C"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Notre prise de position ne remet donc pas en cause par principe la possibilité d’intervenir sur des individus</w:t>
      </w:r>
      <w:r w:rsidR="00F11DE1">
        <w:rPr>
          <w:rFonts w:ascii="Times New Roman" w:eastAsia="Times New Roman" w:hAnsi="Times New Roman" w:cs="Times New Roman"/>
          <w:kern w:val="0"/>
          <w:lang w:eastAsia="fr-FR"/>
          <w14:ligatures w14:val="none"/>
        </w:rPr>
        <w:t>/meutes</w:t>
      </w:r>
      <w:r w:rsidRPr="00DD70C8">
        <w:rPr>
          <w:rFonts w:ascii="Times New Roman" w:eastAsia="Times New Roman" w:hAnsi="Times New Roman" w:cs="Times New Roman"/>
          <w:kern w:val="0"/>
          <w:lang w:eastAsia="fr-FR"/>
          <w14:ligatures w14:val="none"/>
        </w:rPr>
        <w:t xml:space="preserve"> problématiques. Elle porte sur la proportionnalité des nouvelles mesures proposées, leur fondement scientifique et la nécessité d’examiner suffisamment les mesures préventives et les alternatives avant d’étendre encore les possibilités de tir.</w:t>
      </w:r>
    </w:p>
    <w:p w14:paraId="35B8758B" w14:textId="77777777" w:rsidR="00DD70C8" w:rsidRPr="00DD70C8" w:rsidRDefault="00DD70C8" w:rsidP="00DD70C8">
      <w:pPr>
        <w:pStyle w:val="Titre2"/>
      </w:pPr>
      <w:r w:rsidRPr="00DD70C8">
        <w:t>1. Remarques générales</w:t>
      </w:r>
    </w:p>
    <w:p w14:paraId="0082252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législation suisse relative au loup vient de faire l’objet d’une révision importante. Adoptée par le Parlement le 16 décembre 2022, cette révision a notamment introduit la possibilité de réguler préventivement les meutes de loups. Après une mise en œuvre anticipée et temporaire de certaines dispositions, la LChP et l’OChP révisées sont entrées pleinement en vigueur le 1er février 2025.[1]</w:t>
      </w:r>
    </w:p>
    <w:p w14:paraId="1BD7D981" w14:textId="6CAC47A5"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Or, la motion 25.3549 Broulis a été déposée le 7 mai 2025, soit à peine trois mois après cette entrée en vigueur, et la motion 25.3715 Friedli l’a suivie quelques semaines plus tard. </w:t>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lastRenderedPageBreak/>
        <w:t>Avant même qu’il soit possible de disposer d’un recul suffisant sur les effets de la nouvelle réglementation, le processus visant à étendre une nouvelle fois les possibilités d’intervention était ainsi déjà engagé.[2]</w:t>
      </w:r>
    </w:p>
    <w:p w14:paraId="42BFF44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succession particulièrement rapide de modifications nous paraît problématique non seulement sous l’angle de l’évaluation scientifique des mesures adoptées, mais également sous celui de la stabilité et de la qualité du processus législatif.</w:t>
      </w:r>
    </w:p>
    <w:p w14:paraId="590AC83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question mérite d’autant plus d’attention que la législation sur la chasse a fait l’objet, ces dernières années, d’un processus politique et démocratique particulièrement important. Une première révision de la LChP a été refusée par le peuple le 27 septembre 2020, par 51,9 % des votants. À la suite de ce refus, le législateur a élaboré une nouvelle révision ciblée, adoptée par le Parlement en décembre 2022. Aucun référendum n’a été lancé contre cette seconde révision.[3]</w:t>
      </w:r>
    </w:p>
    <w:p w14:paraId="0DAF5FD7"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Il ne s’agit pas de remettre en cause la compétence du Parlement d’adapter la législation lorsque cela s’avère nécessaire. Il nous paraît toutefois essentiel, dans un domaine aussi sensible, que les modifications adoptées disposent du temps nécessaire pour produire leurs effets et puissent faire l’objet d’une évaluation sérieuse avant que leur champ d’application ne soit à nouveau étendu.</w:t>
      </w:r>
    </w:p>
    <w:p w14:paraId="1BFC72A1" w14:textId="77777777" w:rsidR="00DD70C8" w:rsidRPr="00DD70C8" w:rsidRDefault="00DD70C8" w:rsidP="007A1766">
      <w:pPr>
        <w:pStyle w:val="NormalWeb"/>
      </w:pPr>
      <w:r w:rsidRPr="00DD70C8">
        <w:t>Cette préoccupation avait d’ailleurs été exprimée lors du traitement parlementaire des motions à l’origine du présent projet. Le Conseil fédéral avait recommandé leur rejet en relevant notamment les modifications récemment entrées en vigueur, tandis que des minorités parlementaires demandaient également que les effets du nouveau dispositif soient d’abord étudiés.[4]</w:t>
      </w:r>
      <w:r w:rsidR="007A1766">
        <w:t xml:space="preserve"> Cette position initiale nous paraît toujours pertinente.</w:t>
      </w:r>
    </w:p>
    <w:p w14:paraId="3EC654D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L’OFEV estime, dans son rapport du 18 mai 2026 consacré aux trois premières périodes de régulation, que la croissance rapide de la population de loups a été freinée. Il relève parallèlement que la diminution des dommages résulte notamment du renforcement de la protection des troupeaux ainsi que de la régulation. L’OFEV précise lui-même que la tendance observée devra encore être suivie pendant plusieurs périodes de régulation pour pouvoir être confirmée.[6]</w:t>
      </w:r>
    </w:p>
    <w:p w14:paraId="59B0B6F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premiers résultats doivent être pris en considération. Ils ne permettent toutefois pas encore de disposer du recul nécessaire pour apprécier l’ensemble des effets du nouveau dispositif et justifier déjà une nouvelle extension des possibilités de tir.</w:t>
      </w:r>
    </w:p>
    <w:p w14:paraId="6B67B775" w14:textId="77777777" w:rsidR="00DD70C8" w:rsidRPr="00DD70C8" w:rsidRDefault="00DD70C8" w:rsidP="00DD70C8">
      <w:pPr>
        <w:pStyle w:val="Titre3"/>
      </w:pPr>
      <w:r w:rsidRPr="00DD70C8">
        <w:t>1.1 Consolider l’application et l’évaluation du dispositif actuel avant de l’étendre</w:t>
      </w:r>
    </w:p>
    <w:p w14:paraId="04F5F74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L’évaluation du dispositif actuellement en vigueur nécessite non seulement un recul suffisant, mais également des conditions permettant de comparer les résultats dans le temps et entre les cantons. Les premières périodes de régulation devraient ainsi permettre de préciser les objectifs poursuivis, d’améliorer la qualité et la comparabilité des données et d’harmoniser les critères et méthodes nécessaires à l’évaluation de leurs effets.</w:t>
      </w:r>
    </w:p>
    <w:p w14:paraId="6B1BDDF7" w14:textId="77777777" w:rsidR="00DD70C8" w:rsidRPr="00DD70C8"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DD70C8">
        <w:rPr>
          <w:rFonts w:ascii="Times New Roman" w:eastAsia="Times New Roman" w:hAnsi="Times New Roman" w:cs="Times New Roman"/>
          <w:b/>
          <w:bCs/>
          <w:kern w:val="0"/>
          <w:sz w:val="27"/>
          <w:szCs w:val="27"/>
          <w:lang w:eastAsia="fr-FR"/>
          <w14:ligatures w14:val="none"/>
        </w:rPr>
        <w:t>1. Objectifs et critères d’évaluation</w:t>
      </w:r>
    </w:p>
    <w:p w14:paraId="271F4D02" w14:textId="0D0C19E3"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La LChP définit les objectifs généraux auxquels doit répondre la gestion de la faune sauvage et encadre les conditions dans lesquelles une population peut être régulée. </w:t>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lastRenderedPageBreak/>
        <w:t>Les objectifs opérationnels assignés spécifiquement à la régulation du loup gagneraient toutefois à être assortis de valeurs de référence</w:t>
      </w:r>
      <w:r w:rsidR="00804CC9">
        <w:rPr>
          <w:rFonts w:ascii="Times New Roman" w:eastAsia="Times New Roman" w:hAnsi="Times New Roman" w:cs="Times New Roman"/>
          <w:kern w:val="0"/>
          <w:lang w:eastAsia="fr-FR"/>
          <w14:ligatures w14:val="none"/>
        </w:rPr>
        <w:t xml:space="preserve"> ou</w:t>
      </w:r>
      <w:r w:rsidRPr="00DD70C8">
        <w:rPr>
          <w:rFonts w:ascii="Times New Roman" w:eastAsia="Times New Roman" w:hAnsi="Times New Roman" w:cs="Times New Roman"/>
          <w:kern w:val="0"/>
          <w:lang w:eastAsia="fr-FR"/>
          <w14:ligatures w14:val="none"/>
        </w:rPr>
        <w:t xml:space="preserve"> de critères permettant de déterminer à partir de quel niveau ils peuvent être considérés comme atteints.</w:t>
      </w:r>
    </w:p>
    <w:p w14:paraId="76DA1E5D"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Ralentir la croissance de la population, réduire les dommages aux animaux de rente, diminuer les situations conflictuelles ou modifier certains comportements problématiques sont des objectifs qui nécessitent d’être quantifiés ou, lorsque cela n’est pas possible, définis au moyen de critères objectivement mesurables. Quel taux de croissance de la population est considéré comme acceptable ? Quelle réduction des dommages constitue un résultat satisfaisant et sur quelle période doit-elle être observée ? Selon quels critères une diminution des situations conflictuelles ou une modification durable d’un comportement problématique est-elle constatée ?</w:t>
      </w:r>
    </w:p>
    <w:p w14:paraId="28CBD16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définition préalable de tels critères permettrait de déterminer objectivement si une mesure atteint son but et d’évaluer sur cette base son maintien, son adaptation ou son extension.</w:t>
      </w:r>
    </w:p>
    <w:p w14:paraId="2E2DC49F"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clarification est d’autant plus importante que plusieurs mesures sont mises en œuvre simultanément. L’OFEV attribue notamment la diminution récente des dommages à la fois au renforcement de la protection des troupeaux et à l’intensification de la régulation. Des indicateurs préalablement définis sont donc nécessaires pour distinguer, autant que possible, la contribution respective de ces différentes mesures.</w:t>
      </w:r>
    </w:p>
    <w:p w14:paraId="2CDCDDEE" w14:textId="77777777" w:rsidR="00DD70C8" w:rsidRPr="00DD70C8"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DD70C8">
        <w:rPr>
          <w:rFonts w:ascii="Times New Roman" w:eastAsia="Times New Roman" w:hAnsi="Times New Roman" w:cs="Times New Roman"/>
          <w:b/>
          <w:bCs/>
          <w:kern w:val="0"/>
          <w:sz w:val="27"/>
          <w:szCs w:val="27"/>
          <w:lang w:eastAsia="fr-FR"/>
          <w14:ligatures w14:val="none"/>
        </w:rPr>
        <w:t>2. Harmonisation et documentation des données et des méthodes</w:t>
      </w:r>
    </w:p>
    <w:p w14:paraId="303AC8F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monitoring national du loup repose sur différentes sources et sur la collaboration entre KORA, les cantons, le Laboratoire de biologie de la conservation et l’OFEV. Contrairement au monitoring déterministe par pièges photographiques utilisé pour le lynx dans des zones de référence, le suivi du loup associe notamment analyses génétiques et monitoring opportuniste par pièges photographiques. KORA précise qu’un monitoring opportuniste n’est pas spatialement uniforme et ne permet pas, à lui seul, d’estimer la taille d’une population.</w:t>
      </w:r>
    </w:p>
    <w:p w14:paraId="5A3C1C2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partie importante de la documentation primaire dépend ainsi des données recueillies et transmises à l’échelon cantonal. Une évaluation nationale fiable suppose par conséquent des données suffisamment exhaustives, précises, traçables et comparables. Des standards communs devraient définir les informations à recueillir, leur documentation, leur validation ainsi que, lorsque cela s’avère nécessaire, les modalités permettant de les compléter ou de les corriger après leur transmission.</w:t>
      </w:r>
    </w:p>
    <w:p w14:paraId="4F1099A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harmonisation devrait également concerner la description des interventions. La régulation peut prendre des formes très différentes — tir d’un individu, abattage d’une partie des jeunes d’une meute ou élimination d’une meute entière — dont les conséquences potentielles diffèrent. Ces interventions devraient donc être documentées et évaluées séparément plutôt que regroupées comme une mesure homogène de « régulation ».</w:t>
      </w:r>
    </w:p>
    <w:p w14:paraId="4AE43A58" w14:textId="4D9B5653"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L’harmonisation des méthodes devrait ainsi servir à la fois la qualité de l’évaluation et l’amélioration des interventions sur le terrain, qu’il s’agisse du recueil des données, de l’identification des individus et des meutes ou de la mise en œuvre des tirs de régulation.</w:t>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p>
    <w:p w14:paraId="309F1A29" w14:textId="77777777" w:rsidR="00DD70C8" w:rsidRPr="00DD70C8" w:rsidRDefault="00DD70C8" w:rsidP="00DD70C8">
      <w:pPr>
        <w:spacing w:before="100" w:beforeAutospacing="1" w:after="100" w:afterAutospacing="1"/>
        <w:outlineLvl w:val="2"/>
        <w:rPr>
          <w:rFonts w:ascii="Times New Roman" w:eastAsia="Times New Roman" w:hAnsi="Times New Roman" w:cs="Times New Roman"/>
          <w:b/>
          <w:bCs/>
          <w:kern w:val="0"/>
          <w:sz w:val="27"/>
          <w:szCs w:val="27"/>
          <w:lang w:eastAsia="fr-FR"/>
          <w14:ligatures w14:val="none"/>
        </w:rPr>
      </w:pPr>
      <w:r w:rsidRPr="00DD70C8">
        <w:rPr>
          <w:rFonts w:ascii="Times New Roman" w:eastAsia="Times New Roman" w:hAnsi="Times New Roman" w:cs="Times New Roman"/>
          <w:b/>
          <w:bCs/>
          <w:kern w:val="0"/>
          <w:sz w:val="27"/>
          <w:szCs w:val="27"/>
          <w:lang w:eastAsia="fr-FR"/>
          <w14:ligatures w14:val="none"/>
        </w:rPr>
        <w:lastRenderedPageBreak/>
        <w:t>3. Définition et vérification des critères déclenchant une intervention</w:t>
      </w:r>
    </w:p>
    <w:p w14:paraId="62BB68B7" w14:textId="3E7F77B1"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Une application homogène entre les cantons suppose une définition suffisamment précise des critères déterminants pour autoriser une intervention. C’est notamment le cas du contournement « répété » des mesures de protection des troupeaux prévu par le projet. </w:t>
      </w:r>
      <w:r w:rsidR="00F11DE1">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t>La fréquence nécessaire, la période considérée, le nombre d’attaques ou d’animaux touchés et la nature des protections effectivement contournées devraient être précisés.</w:t>
      </w:r>
    </w:p>
    <w:p w14:paraId="4AAD1BCE" w14:textId="65D0EC15"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Lorsque la présence et le contournement de mesures de protection constituent une condition de l’intervention, leur mise en œuvre effective devrait également faire l’objet d’une vérification documentée selon des critères communs</w:t>
      </w:r>
      <w:r w:rsidR="00F11DE1">
        <w:rPr>
          <w:rFonts w:ascii="Times New Roman" w:eastAsia="Times New Roman" w:hAnsi="Times New Roman" w:cs="Times New Roman"/>
          <w:kern w:val="0"/>
          <w:lang w:eastAsia="fr-FR"/>
          <w14:ligatures w14:val="none"/>
        </w:rPr>
        <w:t>, notamment au travers de photos des mesures de protection mises en place</w:t>
      </w:r>
      <w:r w:rsidRPr="00DD70C8">
        <w:rPr>
          <w:rFonts w:ascii="Times New Roman" w:eastAsia="Times New Roman" w:hAnsi="Times New Roman" w:cs="Times New Roman"/>
          <w:kern w:val="0"/>
          <w:lang w:eastAsia="fr-FR"/>
          <w14:ligatures w14:val="none"/>
        </w:rPr>
        <w:t>.</w:t>
      </w:r>
    </w:p>
    <w:p w14:paraId="6E109A2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bovins devraient être pleinement intégrés au développement et à l’évaluation de mesures de protection adaptées à leurs conditions de détention, afin que l’évaluation de la possibilité de prévenir les dommages ne repose pas principalement sur les dispositifs développés pour les petits ruminants.</w:t>
      </w:r>
    </w:p>
    <w:p w14:paraId="0DF7C994" w14:textId="77777777" w:rsidR="00DD70C8" w:rsidRPr="00DD70C8" w:rsidRDefault="00DD70C8" w:rsidP="00DD70C8">
      <w:pPr>
        <w:pStyle w:val="Titre3"/>
      </w:pPr>
      <w:r w:rsidRPr="00DD70C8">
        <w:t>4. Identification des meutes et zones de contact</w:t>
      </w:r>
    </w:p>
    <w:p w14:paraId="75FCF7C6" w14:textId="290B3461"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L’évaluation de la régulation suppose également de pouvoir déterminer avec une fiabilité suffisante sur quelle meute une intervention agit. Une attention particulière devrait être portée aux zones de contact (zones tampons</w:t>
      </w:r>
      <w:r w:rsidR="00F11DE1">
        <w:rPr>
          <w:rFonts w:ascii="Times New Roman" w:eastAsia="Times New Roman" w:hAnsi="Times New Roman" w:cs="Times New Roman"/>
          <w:kern w:val="0"/>
          <w:lang w:eastAsia="fr-FR"/>
          <w14:ligatures w14:val="none"/>
        </w:rPr>
        <w:t>)</w:t>
      </w:r>
      <w:r w:rsidRPr="00DD70C8">
        <w:rPr>
          <w:rFonts w:ascii="Times New Roman" w:eastAsia="Times New Roman" w:hAnsi="Times New Roman" w:cs="Times New Roman"/>
          <w:kern w:val="0"/>
          <w:lang w:eastAsia="fr-FR"/>
          <w14:ligatures w14:val="none"/>
        </w:rPr>
        <w:t xml:space="preserve"> entre territoires voisins, dans lesquelles peuvent circuler des individus appartenant à différentes meutes.</w:t>
      </w:r>
    </w:p>
    <w:p w14:paraId="04BA4BF0" w14:textId="7690BA9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zones devraient faire l’objet d’un monitoring spécifique</w:t>
      </w:r>
      <w:r w:rsidR="00F11DE1">
        <w:rPr>
          <w:rFonts w:ascii="Times New Roman" w:eastAsia="Times New Roman" w:hAnsi="Times New Roman" w:cs="Times New Roman"/>
          <w:kern w:val="0"/>
          <w:lang w:eastAsia="fr-FR"/>
          <w14:ligatures w14:val="none"/>
        </w:rPr>
        <w:t xml:space="preserve"> et devraient être incluses, au moyen de cartes génétiques, dans toute demande de régulation officielle concernant des meutes</w:t>
      </w:r>
      <w:r w:rsidRPr="00DD70C8">
        <w:rPr>
          <w:rFonts w:ascii="Times New Roman" w:eastAsia="Times New Roman" w:hAnsi="Times New Roman" w:cs="Times New Roman"/>
          <w:kern w:val="0"/>
          <w:lang w:eastAsia="fr-FR"/>
          <w14:ligatures w14:val="none"/>
        </w:rPr>
        <w:t>. Lorsque l’appartenance d’un individu à la meute visée ne peut être établie avec une fiabilité suffisante, aucun tir de régulation ne devrait y être effectué. Cette précaution permettrait d’éviter qu’une intervention destinée à agir sur une meute déterminée affecte une meute voisine et améliorerait également la qualité de l’évaluation ultérieure des effets de la régulation.</w:t>
      </w:r>
    </w:p>
    <w:p w14:paraId="79FFE3F7" w14:textId="77777777" w:rsidR="00DD70C8" w:rsidRPr="00DD70C8" w:rsidRDefault="00DD70C8" w:rsidP="00DD70C8">
      <w:pPr>
        <w:pStyle w:val="Titre2"/>
      </w:pPr>
      <w:r w:rsidRPr="00DD70C8">
        <w:t>2. Nouvel art. 12, al. 2ter LChP – interventions du 1er février au 31 mai</w:t>
      </w:r>
    </w:p>
    <w:p w14:paraId="68D97A42"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Nous sommes opposés à l’introduction de l’art. 12, al. 2ter LChP.</w:t>
      </w:r>
    </w:p>
    <w:p w14:paraId="7A3415C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projet prévoit que les cantons puissent, avec l’assentiment de l’Office fédéral, ordonner ou autoriser entre le 1er février et le 31 mai des mesures contre des loups appartenant à une meute lorsqu’ils ont contourné de manière répétée des mesures de protection des troupeaux appliquées dans les règles de l’art en causant d’importants dommages, ou lorsqu’ils représentent un danger pour l’homme.[7]</w:t>
      </w:r>
    </w:p>
    <w:p w14:paraId="3B358C4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période ne constitue pas une période quelconque du cycle biologique du loup. Elle recouvre la reproduction, la gestation, la mise bas puis les premières semaines de vie des jeunes. La réglementation actuelle protège précisément les loups appartenant à une meute pendant cette période en raison de la reproduction.[7]</w:t>
      </w:r>
    </w:p>
    <w:p w14:paraId="10525C6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Il ne s’agit donc pas seulement d’étendre de quelques mois une possibilité de tir existante : la modification proposée supprime une limite temporelle qui répond à des considérations biologiques et de protection des jeunes.</w:t>
      </w:r>
    </w:p>
    <w:p w14:paraId="42AEA2A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lastRenderedPageBreak/>
        <w:t>Une telle modification devrait dès lors être justifiée par une nécessité clairement démontrée et accompagnée de garanties proportionnées aux risques supplémentaires qu’elle crée. Cette nécessité ne nous paraît pas suffisamment établie.</w:t>
      </w:r>
    </w:p>
    <w:p w14:paraId="48A52204" w14:textId="77777777" w:rsidR="004E51E5"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Le projet prévoit notamment qu’une intervention puisse être autorisée lorsqu’un loup appartenant à une meute a contourné « de manière répétée » des mesures de protection des troupeaux appliquées dans les règles de l’art en causant d’importants dommages. </w:t>
      </w:r>
    </w:p>
    <w:p w14:paraId="40A270A1" w14:textId="52209FF4"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application uniforme de cette disposition suppose que la notion de répétition soit définie selon des critères suffisamment précis : fréquence des événements, période considérée, nombre d’attaques ou d’animaux touchés et nature des mesures de protection effectivement contournées.</w:t>
      </w:r>
    </w:p>
    <w:p w14:paraId="32C79E6A"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L’appréciation de cette condition suppose également une vérification documentée des mesures de protection présentes au moment des attaques et de leur mise en œuvre effective. Cette documentation devrait faire partie intégrante des éléments sur lesquels repose la décision d’autoriser une intervention.</w:t>
      </w:r>
    </w:p>
    <w:p w14:paraId="2F151EC0"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bovins devraient être pleinement intégrés à cette évaluation, avec des critères de protection adaptés à leurs conditions de détention et aux possibilités concrètes de protection des troupeaux concernés.</w:t>
      </w:r>
    </w:p>
    <w:p w14:paraId="58498836" w14:textId="77777777" w:rsidR="00DD70C8" w:rsidRPr="00DD70C8" w:rsidRDefault="00DD70C8" w:rsidP="00DD70C8">
      <w:pPr>
        <w:pStyle w:val="Titre2"/>
      </w:pPr>
      <w:r w:rsidRPr="00DD70C8">
        <w:t>2.1 Identification de l’individu effectivement responsable</w:t>
      </w:r>
    </w:p>
    <w:p w14:paraId="17FB5F0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L’objectif annoncé est de pouvoir intervenir contre un loup appartenant à une meute qui a effectivement contourné à plusieurs reprises les mesures de protection et causé d’importants dommages, ou qui représente un danger pour l’homme.</w:t>
      </w:r>
    </w:p>
    <w:p w14:paraId="2178659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logique suppose toutefois que l’on puisse identifier avec suffisamment de certitude l’individu à l’origine du comportement justifiant l’intervention et, lors de l’exécution du tir, l’individu effectivement abattu.</w:t>
      </w:r>
    </w:p>
    <w:p w14:paraId="22DEC6A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exigence revêt une importance particulière pendant la période de reproduction et d’élevage des jeunes, puisque l’erreur d’identification peut avoir des conséquences qui dépassent largement l’abattage d’un seul animal.</w:t>
      </w:r>
    </w:p>
    <w:p w14:paraId="577791E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analyse des campagnes précédentes publiée dans fauna•vs info 47/2025, fondée notamment sur les données génétiques disponibles, illustre les difficultés auxquelles peut se heurter cette identification. Lors de la campagne 2023–2024 en Valais, 11 des 27 loups abattus, soit 41 %, n’appartenaient pas à la meute visée par la régulation ou n’ont pas pu lui être rattachés génétiquement. Parmi les dix loups décrits comme adultes, cette proportion atteignait 60 %. Parmi les 17 louveteaux abattus, six, soit 35 %, appartenaient à une autre meute que celle ciblée.[8]</w:t>
      </w:r>
    </w:p>
    <w:p w14:paraId="2124AB8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Pour 2024–2025, 17 des 34 loups abattus, soit 50 %, ne pouvaient pas être rattachés avec certitude à la meute ciblée. Parmi les 19 adultes abattus, </w:t>
      </w:r>
      <w:r w:rsidR="00804CC9">
        <w:rPr>
          <w:rFonts w:ascii="Times New Roman" w:eastAsia="Times New Roman" w:hAnsi="Times New Roman" w:cs="Times New Roman"/>
          <w:kern w:val="0"/>
          <w:lang w:eastAsia="fr-FR"/>
          <w14:ligatures w14:val="none"/>
        </w:rPr>
        <w:t>4</w:t>
      </w:r>
      <w:r w:rsidRPr="00DD70C8">
        <w:rPr>
          <w:rFonts w:ascii="Times New Roman" w:eastAsia="Times New Roman" w:hAnsi="Times New Roman" w:cs="Times New Roman"/>
          <w:kern w:val="0"/>
          <w:lang w:eastAsia="fr-FR"/>
          <w14:ligatures w14:val="none"/>
        </w:rPr>
        <w:t xml:space="preserve"> seulement appartenaient avec certitude à la meute visée par la régulation.[8]</w:t>
      </w:r>
    </w:p>
    <w:p w14:paraId="16D50967" w14:textId="7EA3CACD"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Ces résultats ne signifient pas nécessairement que chacun de ces tirs était illégal ou dépourvu de justification. Ils illustrent en revanche une difficulté concrète majeure. </w:t>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lastRenderedPageBreak/>
        <w:t>L’OFEV relève lui-même que des loups étrangers à une meute peuvent traverser son territoire et que l’appartenance d’un individu à une meute ne peut pas toujours être déterminée sur le terrain ; l’analyse génétique ne permet parfois de l’établir qu’a posteriori.[9]</w:t>
      </w:r>
    </w:p>
    <w:p w14:paraId="05D6601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Cette difficulté revêt une importance particulière dans les zones de contact (« zones </w:t>
      </w:r>
      <w:r w:rsidR="00804CC9">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t>tampons</w:t>
      </w:r>
      <w:r w:rsidR="00804CC9">
        <w:rPr>
          <w:rFonts w:ascii="Times New Roman" w:eastAsia="Times New Roman" w:hAnsi="Times New Roman" w:cs="Times New Roman"/>
          <w:kern w:val="0"/>
          <w:lang w:eastAsia="fr-FR"/>
          <w14:ligatures w14:val="none"/>
        </w:rPr>
        <w:t xml:space="preserve"> </w:t>
      </w:r>
      <w:r w:rsidRPr="00DD70C8">
        <w:rPr>
          <w:rFonts w:ascii="Times New Roman" w:eastAsia="Times New Roman" w:hAnsi="Times New Roman" w:cs="Times New Roman"/>
          <w:kern w:val="0"/>
          <w:lang w:eastAsia="fr-FR"/>
          <w14:ligatures w14:val="none"/>
        </w:rPr>
        <w:t>») entre territoires de meutes voisines, où peuvent circuler des individus appartenant à différentes meutes. Ces secteurs devraient faire l’objet d’un monitoring spécifique et, lorsque l’appartenance d’un individu à la meute visée ne peut être établie avec une fiabilité suffisante, le tir de régulation devrait y être exclu.</w:t>
      </w:r>
    </w:p>
    <w:p w14:paraId="0C319B51" w14:textId="77777777" w:rsidR="00DD70C8" w:rsidRPr="00DD70C8" w:rsidRDefault="00DD70C8" w:rsidP="00DD70C8">
      <w:pPr>
        <w:pStyle w:val="Titre2"/>
      </w:pPr>
      <w:r w:rsidRPr="00DD70C8">
        <w:t>2.2 Reproducteurs et jeunes dépendants</w:t>
      </w:r>
    </w:p>
    <w:p w14:paraId="66202C0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L’extension de la période d’intervention jusqu’au 31 mai implique que des tirs puissent avoir lieu pendant la reproduction, la gestation, la mise bas et les premières semaines de vie des jeunes. Dans cette période, les conséquences d’un abattage dépendent non seulement de l’individu visé, mais également de son rôle au sein de la meute et de la présence éventuelle de jeunes dépendants.</w:t>
      </w:r>
    </w:p>
    <w:p w14:paraId="7B4695F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protection des reproducteurs et des jeunes dépendants devrait dès lors constituer une condition explicite de toute intervention pendant cette période. L’évaluation préalable devrait notamment porter sur le statut reproducteur de l’individu visé, la présence de jeunes dépendants et les conséquences prévisibles de son abattage sur leur survie et leur bien-être.</w:t>
      </w:r>
    </w:p>
    <w:p w14:paraId="5DF4C547"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Si une intervention devait néanmoins concerner un animal reproducteur, la décision devrait préciser les mesures prévues en cas de présence ou de découverte ultérieure de jeunes dépendants, notamment lorsqu’un risque d’orphelinage en résulte.</w:t>
      </w:r>
    </w:p>
    <w:p w14:paraId="124121D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éléments devraient être documentés avant l’intervention dans toute la mesure du possible et intégrés au suivi de ses conséquences. Ils permettraient également d’améliorer l’évaluation des effets réels de la régulation pendant cette période biologiquement sensible.</w:t>
      </w:r>
    </w:p>
    <w:p w14:paraId="67BB0D6A"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Or, le projet ne prévoit pas de garanties spécifiques suffisantes concernant l’identification du statut reproducteur de l’individu visé, la présence de jeunes dépendants et les conséquences éventuelles de l’abattage d’un reproducteur. Cette lacune revêt une importance particulière dès lors que l’art. 12, al. 2ter étend précisément les possibilités d’intervention à la période de reproduction et d’élevage des jeunes.</w:t>
      </w:r>
    </w:p>
    <w:p w14:paraId="0DFE8815" w14:textId="77777777" w:rsidR="00DD70C8" w:rsidRPr="00DD70C8" w:rsidRDefault="00DD70C8" w:rsidP="00DD70C8">
      <w:pPr>
        <w:pStyle w:val="Titre2"/>
      </w:pPr>
      <w:r w:rsidRPr="00DD70C8">
        <w:t>3. Recherche des causes du comportement problématique</w:t>
      </w:r>
    </w:p>
    <w:p w14:paraId="78B748AB" w14:textId="77777777" w:rsidR="00DD70C8" w:rsidRPr="00DD70C8" w:rsidRDefault="00DD70C8" w:rsidP="00DD70C8">
      <w:pPr>
        <w:pStyle w:val="Titre3"/>
      </w:pPr>
      <w:r w:rsidRPr="00DD70C8">
        <w:t>3.1 Comportements de proximité avec l’être humain et facteurs anthropiques</w:t>
      </w:r>
    </w:p>
    <w:p w14:paraId="2A6BCD6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Lorsqu’un comportement de proximité avec l’être humain, une diminution de la distance de fuite ou ce qui est qualifié de « perte de crainte » est invoqué pour justifier une intervention, la recherche des facteurs susceptibles de favoriser ou d’entretenir ce comportement devrait constituer une étape préalable de l’évaluation.</w:t>
      </w:r>
    </w:p>
    <w:p w14:paraId="04B4611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diminution de la distance de fuite ne signifie pas nécessairement une disparition de la crainte de l’être humain. Elle peut notamment être liée à l’apprentissage qu’une ressource attractive est accessible dans un contexte donné malgré la proximité humaine. Cette distinction devrait être prise en compte dans l’évaluation du comportement.</w:t>
      </w:r>
    </w:p>
    <w:p w14:paraId="16FE1D7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lastRenderedPageBreak/>
        <w:t>L’accès répété à des ressources alimentaires d’origine anthropique peut favoriser l’habituation ou le conditionnement alimentaire. Il convient dès lors de rechercher et de documenter la présence éventuelle de sources attractives accessibles : nourrissage volontaire ou involontaire, déchets alimentaires, aliments destinés aux animaux, cadavres, sous-produits animaux ou placentas.</w:t>
      </w:r>
    </w:p>
    <w:p w14:paraId="3FC8C82D" w14:textId="77777777" w:rsidR="004E51E5"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Les sources alimentaires directement maîtrisables devraient être supprimées ou rendues inaccessibles et les mesures prises documentées. Lorsque cette suppression est impossible, les raisons devraient également être consignées. </w:t>
      </w:r>
    </w:p>
    <w:p w14:paraId="2DBDB4E7" w14:textId="0216CD25"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L’évolution du comportement de l’animal après suppression de ces facteurs devrait, lorsque les circonstances le permettent, être prise en compte avant de conclure à la nécessité d’une intervention létale.</w:t>
      </w:r>
    </w:p>
    <w:p w14:paraId="61D1C4C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Dans les secteurs fréquentés par le loup, l’élimination rapide ou la mise hors d’accès des placentas, cadavres et autres sous-produits animaux susceptibles de constituer une ressource alimentaire devrait faire partie des mesures préventives de base.</w:t>
      </w:r>
    </w:p>
    <w:p w14:paraId="4775FADA" w14:textId="77777777" w:rsidR="00DD70C8" w:rsidRPr="00DD70C8" w:rsidRDefault="00DD70C8" w:rsidP="00DD70C8">
      <w:pPr>
        <w:pStyle w:val="Titre2"/>
      </w:pPr>
      <w:r w:rsidRPr="00DD70C8">
        <w:t>4. Effets de la régulation et alternatives à évaluer</w:t>
      </w:r>
    </w:p>
    <w:p w14:paraId="142555C3"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conséquences d’une régulation ne se limitent pas nécessairement à la réduction du nombre d’individus. Elles peuvent également concerner le comportement, la structure sociale et territoriale des meutes et, plus largement, la dynamique de la population.</w:t>
      </w:r>
    </w:p>
    <w:p w14:paraId="7757E823"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mesures à examiner dépendent de l’objectif poursuivi. La prévention, la suppression des facteurs anthropiques et le conditionnement aversif concernent principalement la prévention des conflits ou la modification d’un comportement. Le contrôle de la fertilité répond à un objectif différent : agir sur la reproduction et la dynamique démographique.</w:t>
      </w:r>
    </w:p>
    <w:p w14:paraId="02717FC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différents objectifs devraient être distingués lors du choix et de l’évaluation des mesures.</w:t>
      </w:r>
    </w:p>
    <w:p w14:paraId="5740A354" w14:textId="77777777" w:rsidR="00DD70C8" w:rsidRPr="00DD70C8" w:rsidRDefault="00DD70C8" w:rsidP="00DD70C8">
      <w:pPr>
        <w:pStyle w:val="Titre3"/>
      </w:pPr>
      <w:r w:rsidRPr="00DD70C8">
        <w:t>4.1 Effet d’apprentissage et conditionnement aversif</w:t>
      </w:r>
    </w:p>
    <w:p w14:paraId="65C6AEC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rapport explicatif attribue aux tirs effectués au sein d’une meute un effet d’apprentissage destiné à rendre les individus survivants plus méfiants, notamment à proximité des troupeaux protégés ou des zones habitées. Cette hypothèse suppose que les loups survivants associent la mort d’un congénère au contexte dans lequel elle intervient et modifient ensuite durablement leur propre comportement.[11]</w:t>
      </w:r>
    </w:p>
    <w:p w14:paraId="122BC9EF"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Des travaux scientifiques montrent en revanche qu’un conditionnement aversif direct peut modifier le comportement d’un loup. Bassi et al. ont suivi un loup sauvage équipé d’un collier GPS qui s’approchait régulièrement d’un troupeau et de son berger. Après avoir été atteint à deux reprises par des projectiles en caoutchouc, l’animal a modifié son utilisation de l’espace et son comportement prédateur ; cet effet a pu être suivi pendant les 59 jours restant avant le départ du troupeau de l’alpage.[12]</w:t>
      </w:r>
    </w:p>
    <w:p w14:paraId="34EE8DC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étude documente donc un apprentissage chez l’individu qui reçoit lui-même le stimulus aversif. Elle ne démontre pas qu’un effet comparable se produit chez les autres membres de la meute lorsqu’un congénère est abattu.</w:t>
      </w:r>
    </w:p>
    <w:p w14:paraId="3EC298E3" w14:textId="77777777" w:rsid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lastRenderedPageBreak/>
        <w:t>L’utilisation de l’abattage d’un membre de la meute comme moyen d’apprentissage pour les individus survivants devrait reposer sur la démonstration préalable de son efficacité à modifier leur comportement. À notre connaissance, les données scientifiques disponibles ne permettent pas actuellement d’établir un tel effet du tir létal sur les autres membres de la meute. À l’inverse, le conditionnement aversif direct permet à l’individu concerné d’associer lui-même un stimulus à la situation que l’on cherche à lui faire éviter, mécanisme d’apprentissage effectivement documenté chez le loup.</w:t>
      </w:r>
    </w:p>
    <w:p w14:paraId="4A7004C5" w14:textId="77777777" w:rsidR="00DD70C8" w:rsidRPr="00DD70C8" w:rsidRDefault="00DD70C8" w:rsidP="00DD70C8">
      <w:pPr>
        <w:pStyle w:val="Titre3"/>
      </w:pPr>
      <w:r w:rsidRPr="00DD70C8">
        <w:t>4.2 Effets indirects de la pression d’abattage</w:t>
      </w:r>
    </w:p>
    <w:p w14:paraId="4673DE4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conséquences de la régulation ne se limitent pas nécessairement à la diminution immédiate du nombre d’individus. Bryan et al. ont comparé des loups appartenant à des populations soumises à des niveaux différents de pression de chasse et ont observé, dans la population soumise à la pression la plus élevée, des concentrations plus importantes de glucocorticoïdes ainsi que d’hormones reproductives. Les auteurs discutent notamment le rôle possible de la mortalité anthropique et des perturbations de la structure sociale dans ces différences.[17]</w:t>
      </w:r>
    </w:p>
    <w:p w14:paraId="6622DBB3"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résultats ne permettent pas de conclure qu’une augmentation des abattages entraîne directement une augmentation de la reproduction, ni de les transposer quantitativement à la population suisse. Ils indiquent en revanche que les effets d’une pression d’abattage peuvent dépasser la seule réduction numérique immédiate et que ses conséquences physiologiques, sociales et démographiques méritent d’être prises en compte dans l’évaluation de la régulation.</w:t>
      </w:r>
    </w:p>
    <w:p w14:paraId="62534BAD" w14:textId="77777777" w:rsidR="00DD70C8" w:rsidRPr="00DD70C8" w:rsidRDefault="00DD70C8" w:rsidP="00DD70C8">
      <w:pPr>
        <w:pStyle w:val="Titre3"/>
      </w:pPr>
      <w:r w:rsidRPr="00DD70C8">
        <w:t>4.3 Vasectomie des mâles reproducteurs : une méthode alternative à évaluer</w:t>
      </w:r>
    </w:p>
    <w:p w14:paraId="308B0A09" w14:textId="05DD20A5"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Nous proposons que la vasectomie ciblée de mâles reproducteurs</w:t>
      </w:r>
      <w:r w:rsidR="00807C68">
        <w:rPr>
          <w:rFonts w:ascii="Times New Roman" w:eastAsia="Times New Roman" w:hAnsi="Times New Roman" w:cs="Times New Roman"/>
          <w:kern w:val="0"/>
          <w:lang w:eastAsia="fr-FR"/>
          <w14:ligatures w14:val="none"/>
        </w:rPr>
        <w:t>, notamment à l’intérieur de meutes plus problématiques,</w:t>
      </w:r>
      <w:r w:rsidRPr="00DD70C8">
        <w:rPr>
          <w:rFonts w:ascii="Times New Roman" w:eastAsia="Times New Roman" w:hAnsi="Times New Roman" w:cs="Times New Roman"/>
          <w:kern w:val="0"/>
          <w:lang w:eastAsia="fr-FR"/>
          <w14:ligatures w14:val="none"/>
        </w:rPr>
        <w:t xml:space="preserve"> soit étudiée comme méthode alternative de gestion démographique lorsque l’objectif poursuivi est de limiter la reproduction</w:t>
      </w:r>
      <w:r w:rsidR="00807C68">
        <w:rPr>
          <w:rFonts w:ascii="Times New Roman" w:eastAsia="Times New Roman" w:hAnsi="Times New Roman" w:cs="Times New Roman"/>
          <w:kern w:val="0"/>
          <w:lang w:eastAsia="fr-FR"/>
          <w14:ligatures w14:val="none"/>
        </w:rPr>
        <w:t xml:space="preserve">, </w:t>
      </w:r>
      <w:r w:rsidRPr="00DD70C8">
        <w:rPr>
          <w:rFonts w:ascii="Times New Roman" w:eastAsia="Times New Roman" w:hAnsi="Times New Roman" w:cs="Times New Roman"/>
          <w:kern w:val="0"/>
          <w:lang w:eastAsia="fr-FR"/>
          <w14:ligatures w14:val="none"/>
        </w:rPr>
        <w:t>la croissance de la population</w:t>
      </w:r>
      <w:r w:rsidR="00807C68">
        <w:rPr>
          <w:rFonts w:ascii="Times New Roman" w:eastAsia="Times New Roman" w:hAnsi="Times New Roman" w:cs="Times New Roman"/>
          <w:kern w:val="0"/>
          <w:lang w:eastAsia="fr-FR"/>
          <w14:ligatures w14:val="none"/>
        </w:rPr>
        <w:t xml:space="preserve"> mais aussi la propagation de comportements non souhaitables.</w:t>
      </w:r>
      <w:r w:rsidRPr="00DD70C8">
        <w:rPr>
          <w:rFonts w:ascii="Times New Roman" w:eastAsia="Times New Roman" w:hAnsi="Times New Roman" w:cs="Times New Roman"/>
          <w:kern w:val="0"/>
          <w:lang w:eastAsia="fr-FR"/>
          <w14:ligatures w14:val="none"/>
        </w:rPr>
        <w:t xml:space="preserve"> Son champ d’application se distingue ainsi des interventions visant un individu en raison d’un comportement problématique.</w:t>
      </w:r>
    </w:p>
    <w:p w14:paraId="610CBB1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vasectomie consiste à interrompre les canaux déférents afin de rendre le mâle stérile sans supprimer sa production hormonale ni son comportement reproducteur. Il s’agit d’une intervention chirurgicale mineure qui n’implique pas l’ouverture de la cavité abdominale. La procédure elle-même dure moins de quinze minutes et peut être réalisée sur le terrain par un vétérinaire, ce qui permet d’éviter le transport et la contention prolongée de l’animal.[18]</w:t>
      </w:r>
    </w:p>
    <w:p w14:paraId="4072F1B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méthode a déjà été expérimentée sur des loups sauvages vivant en liberté. Les observations disponibles indiquent que les mâles vasectomisés peuvent conserver leurs liens de couple et leur territoire, ce qui présente un intérêt particulier chez une espèce fortement territoriale. Même si les expériences de terrain disponibles restent limitées, elles justifient que la faisabilité et l’intérêt de cette méthode soient évalués dans le contexte suisse.[13]</w:t>
      </w:r>
    </w:p>
    <w:p w14:paraId="14B003CD" w14:textId="05F2092C"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Lorsqu’un loup territorial est abattu, sa disparition ne signifie pas nécessairement que le territoire concerné restera durablement inoccupé. Les travaux portant sur la perte de reproducteurs montrent que les remplacements et les réoccupations sont fréquents et interviennent plus rapidement dans les populations importantes ou saturées.</w:t>
      </w:r>
      <w:r w:rsidR="00807C68">
        <w:rPr>
          <w:rFonts w:ascii="Times New Roman" w:eastAsia="Times New Roman" w:hAnsi="Times New Roman" w:cs="Times New Roman"/>
          <w:kern w:val="0"/>
          <w:lang w:eastAsia="fr-FR"/>
          <w14:ligatures w14:val="none"/>
        </w:rPr>
        <w:t xml:space="preserve"> </w:t>
      </w:r>
      <w:r w:rsidR="008765E7">
        <w:rPr>
          <w:rFonts w:ascii="Times New Roman" w:eastAsia="Times New Roman" w:hAnsi="Times New Roman" w:cs="Times New Roman"/>
          <w:kern w:val="0"/>
          <w:lang w:eastAsia="fr-FR"/>
          <w14:ligatures w14:val="none"/>
        </w:rPr>
        <w:br/>
      </w:r>
      <w:r w:rsidR="008765E7">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lastRenderedPageBreak/>
        <w:t>Lorsque la disparition d’un reproducteur entraînait la dissolution du groupe et l’abandon du territoire, une étude portant sur 134 cas a observé un rétablissement de loups territoriaux dans 53 % des cas et l’appropriation du territoire par des loups voisins dans 21 % supplémentaires.[14]</w:t>
      </w:r>
    </w:p>
    <w:p w14:paraId="3F8E8ECA" w14:textId="5AF27013"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La vacance territoriale peut donc être de courte durée et un reproducteur disparu peut être remplacé relativement rapidement. </w:t>
      </w:r>
      <w:r w:rsidR="00807C68">
        <w:rPr>
          <w:rFonts w:ascii="Times New Roman" w:eastAsia="Times New Roman" w:hAnsi="Times New Roman" w:cs="Times New Roman"/>
          <w:kern w:val="0"/>
          <w:lang w:eastAsia="fr-FR"/>
          <w14:ligatures w14:val="none"/>
        </w:rPr>
        <w:t xml:space="preserve">En Valais, sur les 7 cas où des mâles reproducteurs ont été abattus depuis 2023, </w:t>
      </w:r>
      <w:r w:rsidR="009727A2">
        <w:rPr>
          <w:rFonts w:ascii="Times New Roman" w:eastAsia="Times New Roman" w:hAnsi="Times New Roman" w:cs="Times New Roman"/>
          <w:kern w:val="0"/>
          <w:lang w:eastAsia="fr-FR"/>
          <w14:ligatures w14:val="none"/>
        </w:rPr>
        <w:t xml:space="preserve">6 </w:t>
      </w:r>
      <w:r w:rsidR="00807C68">
        <w:rPr>
          <w:rFonts w:ascii="Times New Roman" w:eastAsia="Times New Roman" w:hAnsi="Times New Roman" w:cs="Times New Roman"/>
          <w:kern w:val="0"/>
          <w:lang w:eastAsia="fr-FR"/>
          <w14:ligatures w14:val="none"/>
        </w:rPr>
        <w:t xml:space="preserve">montrent que la meute a retrouvé un nouveau mâle dans des délais oscillant entre 3 semaines et </w:t>
      </w:r>
      <w:r w:rsidR="009727A2">
        <w:rPr>
          <w:rFonts w:ascii="Times New Roman" w:eastAsia="Times New Roman" w:hAnsi="Times New Roman" w:cs="Times New Roman"/>
          <w:kern w:val="0"/>
          <w:lang w:eastAsia="fr-FR"/>
          <w14:ligatures w14:val="none"/>
        </w:rPr>
        <w:t>9 mois</w:t>
      </w:r>
      <w:r w:rsidR="003B5438">
        <w:rPr>
          <w:rFonts w:ascii="Times New Roman" w:eastAsia="Times New Roman" w:hAnsi="Times New Roman" w:cs="Times New Roman"/>
          <w:kern w:val="0"/>
          <w:lang w:eastAsia="fr-FR"/>
          <w14:ligatures w14:val="none"/>
        </w:rPr>
        <w:t>.</w:t>
      </w:r>
      <w:r w:rsidR="00807C68" w:rsidRPr="00DD70C8">
        <w:rPr>
          <w:rFonts w:ascii="Times New Roman" w:eastAsia="Times New Roman" w:hAnsi="Times New Roman" w:cs="Times New Roman"/>
          <w:kern w:val="0"/>
          <w:lang w:eastAsia="fr-FR"/>
          <w14:ligatures w14:val="none"/>
        </w:rPr>
        <w:t xml:space="preserve"> </w:t>
      </w:r>
      <w:r w:rsidRPr="00DD70C8">
        <w:rPr>
          <w:rFonts w:ascii="Times New Roman" w:eastAsia="Times New Roman" w:hAnsi="Times New Roman" w:cs="Times New Roman"/>
          <w:kern w:val="0"/>
          <w:lang w:eastAsia="fr-FR"/>
          <w14:ligatures w14:val="none"/>
        </w:rPr>
        <w:t>Le nouvel occupant est alors un individu dont le comportement à l’égard des activités humaines est inconnu.</w:t>
      </w:r>
    </w:p>
    <w:p w14:paraId="5B08A184" w14:textId="3EBE6F80"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À l’inverse, la vasectomie d’un mâle reproducteur qui ne présente pas de comportement problématique pourrait permettre </w:t>
      </w:r>
      <w:r w:rsidR="00807C68">
        <w:rPr>
          <w:rFonts w:ascii="Times New Roman" w:eastAsia="Times New Roman" w:hAnsi="Times New Roman" w:cs="Times New Roman"/>
          <w:kern w:val="0"/>
          <w:lang w:eastAsia="fr-FR"/>
          <w14:ligatures w14:val="none"/>
        </w:rPr>
        <w:t xml:space="preserve">également </w:t>
      </w:r>
      <w:r w:rsidRPr="00DD70C8">
        <w:rPr>
          <w:rFonts w:ascii="Times New Roman" w:eastAsia="Times New Roman" w:hAnsi="Times New Roman" w:cs="Times New Roman"/>
          <w:kern w:val="0"/>
          <w:lang w:eastAsia="fr-FR"/>
          <w14:ligatures w14:val="none"/>
        </w:rPr>
        <w:t>de maintenir sur le territoire un individu — et potentiellement un couple — dont la coexistence locale avec les activités humaines est déjà connue, tout en empêchant la reproduction de ce mâle.</w:t>
      </w:r>
    </w:p>
    <w:p w14:paraId="75291F63"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Des travaux de modélisation ont par ailleurs étudié spécifiquement les effets de la vasectomie de mâles reproducteurs comme méthode de contrôle de la population. Dans des conditions de faible immigration, la vasectomie périodique réduisait la production de jeunes ainsi que le taux de recolonisation des territoires. Pour obtenir par l’abattage une évolution démographique comparable à celle obtenue par la vasectomie, les simulations montrent qu’il fallait abattre plus de deux fois plus de loups que le nombre de mâles qu’il aurait fallu vasectomiser.[15]</w:t>
      </w:r>
    </w:p>
    <w:p w14:paraId="45A62262"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Ces résultats ne peuvent toutefois pas être transposés directement à la Suisse. La population suisse est connectée aux populations des pays voisins et l’immigration peut réduire l’efficacité démographique d’une telle stratégie. Les auteurs montrent eux-mêmes qu’en situation de forte immigration, la vasectomie réduit encore la production de jeunes, mais ne réduit plus de la même manière la recolonisation des territoires.[15]</w:t>
      </w:r>
    </w:p>
    <w:p w14:paraId="1181E88A"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limite justifie précisément d’évaluer scientifiquement la faisabilité, les effets et les limites de cette méthode dans les conditions propres à la population suisse.</w:t>
      </w:r>
    </w:p>
    <w:p w14:paraId="3FC2AEE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évaluation devrait notamment prendre en considération :</w:t>
      </w:r>
    </w:p>
    <w:p w14:paraId="2ABDAE2A"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son efficacité sur la reproduction et la dynamique de population ;</w:t>
      </w:r>
    </w:p>
    <w:p w14:paraId="49CF4298"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durée de maintien des mâles vasectomisés et de leur couple sur leur territoire ;</w:t>
      </w:r>
    </w:p>
    <w:p w14:paraId="2F3AAA0B"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ses effets sur la stabilité sociale et territoriale des meutes ;</w:t>
      </w:r>
    </w:p>
    <w:p w14:paraId="789A4641"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mouvements d’immigration susceptibles d’en limiter l’efficacité ;</w:t>
      </w:r>
    </w:p>
    <w:p w14:paraId="518618C8"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contraintes liées à la capture, à l’anesthésie et à l’intervention vétérinaire ;</w:t>
      </w:r>
    </w:p>
    <w:p w14:paraId="2071A386"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implications en matière de protection animale ;</w:t>
      </w:r>
    </w:p>
    <w:p w14:paraId="429B109D" w14:textId="77777777" w:rsidR="00DD70C8" w:rsidRPr="00DD70C8" w:rsidRDefault="00DD70C8" w:rsidP="00DD70C8">
      <w:pPr>
        <w:numPr>
          <w:ilvl w:val="0"/>
          <w:numId w:val="1"/>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son rapport coût-efficacité par comparaison avec les campagnes de tir et de monitoring nécessaires à la régulation.</w:t>
      </w:r>
    </w:p>
    <w:p w14:paraId="51D93512" w14:textId="77777777" w:rsidR="00DD70C8" w:rsidRPr="00DD70C8" w:rsidRDefault="00DD70C8" w:rsidP="00DD70C8">
      <w:pPr>
        <w:pStyle w:val="Titre2"/>
      </w:pPr>
      <w:r w:rsidRPr="00DD70C8">
        <w:t>5. Art. 11, al. 5bis LChP – districts francs fédéraux</w:t>
      </w:r>
    </w:p>
    <w:p w14:paraId="14D5CBCF"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Nous sommes opposés à l’introduction de l’art. 11, al. 5bis LChP.</w:t>
      </w:r>
    </w:p>
    <w:p w14:paraId="68F876A0" w14:textId="3156806D"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Les districts francs fédéraux ont une fonction particulière de protection de la faune sauvage et de ses habitats. Le régime actuel interdit l’abattage de loups dans ces territoires. </w:t>
      </w:r>
      <w:r w:rsidR="008765E7">
        <w:rPr>
          <w:rFonts w:ascii="Times New Roman" w:eastAsia="Times New Roman" w:hAnsi="Times New Roman" w:cs="Times New Roman"/>
          <w:kern w:val="0"/>
          <w:lang w:eastAsia="fr-FR"/>
          <w14:ligatures w14:val="none"/>
        </w:rPr>
        <w:br/>
      </w:r>
      <w:r w:rsidRPr="00DD70C8">
        <w:rPr>
          <w:rFonts w:ascii="Times New Roman" w:eastAsia="Times New Roman" w:hAnsi="Times New Roman" w:cs="Times New Roman"/>
          <w:kern w:val="0"/>
          <w:lang w:eastAsia="fr-FR"/>
          <w14:ligatures w14:val="none"/>
        </w:rPr>
        <w:lastRenderedPageBreak/>
        <w:t>Le nouvel art. 11, al. 5bis vise à lever cette protection particulière en permettant, sous certaines conditions, des interventions contre des loups à l’intérieur de ces zones.[7]</w:t>
      </w:r>
    </w:p>
    <w:p w14:paraId="1EEBBB55" w14:textId="2AC85C1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Cette modification ne constitue donc pas une simple adaptation des modalités de régulation : elle supprime une limite spatiale actuellement fixée aux possibilités d’abattage et permettrait le tir d’une espèce protégée dans des territoires auxquels la législation attribue précisément une fonction particulière de protection de la faune sauvage et de ses habitats.</w:t>
      </w:r>
    </w:p>
    <w:p w14:paraId="146C15FF" w14:textId="77777777" w:rsidR="004E51E5"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 xml:space="preserve">Le rapport explicatif relève notamment que les districts francs fédéraux abritent d’importantes populations d’ongulés et que la présence du loup peut contribuer à limiter les dommages causés par ces populations à la régénération forestière. </w:t>
      </w:r>
    </w:p>
    <w:p w14:paraId="547E723C" w14:textId="512BB282"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fonction écologique du prédateur doit ainsi également être prise en considération dans l’appréciation de la nécessité d’y étendre les possibilités de tir.[7]</w:t>
      </w:r>
    </w:p>
    <w:p w14:paraId="11F1572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L’argument selon lequel des loups dont le tir est autorisé pourraient se soustraire à la régulation en se déplaçant à l’intérieur d’un district franc fédéral devrait, pour justifier la suppression de cette protection, être étayé par des données permettant d’en apprécier la fréquence et l’importance réelle.</w:t>
      </w:r>
    </w:p>
    <w:p w14:paraId="72A8D6C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En l’absence d’éléments suffisamment documentés démontrant que la protection actuellement accordée au loup dans les districts francs fédéraux compromet de manière significative la régulation, le maintien du régime actuel nous paraît justifié.</w:t>
      </w:r>
    </w:p>
    <w:p w14:paraId="52442379"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deux modifications proposées conduiraient ainsi simultanément à supprimer une limite temporelle à la régulation, pendant la période de reproduction et d’élevage des jeunes, et une limite spatiale, dans les districts francs fédéraux, alors que le dispositif actuel est encore en cours d’évaluation.</w:t>
      </w:r>
    </w:p>
    <w:p w14:paraId="1B11C5FB" w14:textId="77777777" w:rsidR="00DD70C8" w:rsidRPr="00DD70C8" w:rsidRDefault="00DD70C8" w:rsidP="00DD70C8">
      <w:pPr>
        <w:pStyle w:val="Titre2"/>
      </w:pPr>
      <w:r w:rsidRPr="00DD70C8">
        <w:t>6. Définition des dommages et des blessures graves</w:t>
      </w:r>
    </w:p>
    <w:p w14:paraId="13E4ECAD"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réglementation utilise notamment comme critère le fait qu’un loup tue ou blesse gravement certains animaux de rente. Dans les explications accompagnant la réglementation, il est précisé que sont notamment pris en considération les animaux si gravement blessés qu’ils doivent être mis à mort d’urgence ainsi que ceux nécessitant des soins vétérinaires prolongés.[10]</w:t>
      </w:r>
    </w:p>
    <w:p w14:paraId="50586F0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qualification de « blessure grave » constitue ainsi un élément susceptible de déterminer si les conditions permettant une intervention sont remplies. Son appréciation devrait dès lors reposer sur des critères suffisamment précis et uniformes pour garantir une application comparable entre les cantons.</w:t>
      </w:r>
    </w:p>
    <w:p w14:paraId="6BA94D7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référence à un « traitement vétérinaire de longue durée » nécessite en particulier d’être précisée. La durée du traitement ne devrait pas constituer à elle seule le critère déterminant : la gravité des lésions, la nature et la répétition des soins nécessaires, le pronostic</w:t>
      </w:r>
      <w:r w:rsidR="00580F92">
        <w:rPr>
          <w:rFonts w:ascii="Times New Roman" w:eastAsia="Times New Roman" w:hAnsi="Times New Roman" w:cs="Times New Roman"/>
          <w:kern w:val="0"/>
          <w:lang w:eastAsia="fr-FR"/>
          <w14:ligatures w14:val="none"/>
        </w:rPr>
        <w:t>, le coût</w:t>
      </w:r>
      <w:r w:rsidRPr="00DD70C8">
        <w:rPr>
          <w:rFonts w:ascii="Times New Roman" w:eastAsia="Times New Roman" w:hAnsi="Times New Roman" w:cs="Times New Roman"/>
          <w:kern w:val="0"/>
          <w:lang w:eastAsia="fr-FR"/>
          <w14:ligatures w14:val="none"/>
        </w:rPr>
        <w:t xml:space="preserve"> ainsi que les conséquences durables éventuelles pour l’animal devraient également être pris en considération.</w:t>
      </w:r>
    </w:p>
    <w:p w14:paraId="590EB9B5" w14:textId="77777777" w:rsid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définition opérationnelle commune de la blessure grave et du traitement vétérinaire de longue durée permettrait ainsi de disposer d’un critère objectivable, documentable et applicable de manière uniforme.</w:t>
      </w:r>
    </w:p>
    <w:p w14:paraId="24F733FD" w14:textId="77777777" w:rsidR="00DD70C8" w:rsidRPr="00DD70C8" w:rsidRDefault="00DD70C8" w:rsidP="00DD70C8">
      <w:pPr>
        <w:pStyle w:val="Titre2"/>
      </w:pPr>
      <w:r w:rsidRPr="00DD70C8">
        <w:lastRenderedPageBreak/>
        <w:t>7. Nos demandes</w:t>
      </w:r>
    </w:p>
    <w:p w14:paraId="3A924594"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Au vu de ce qui précède, nous demandons :</w:t>
      </w:r>
    </w:p>
    <w:p w14:paraId="18842259"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rejet de l’art. 12, al. 2ter LChP, qui étendrait les possibilités d’abattage à une période biologiquement particulièrement sensible, sans que la nécessité de cette extension soit actuellement suffisamment démontrée ;</w:t>
      </w:r>
    </w:p>
    <w:p w14:paraId="2026732C"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rejet de l’art. 11, al. 5bis LChP et le maintien du régime actuel de protection du loup dans les districts francs fédéraux, en l’absence d’éléments suffisamment documentés démontrant la nécessité de supprimer cette limite spatiale ;</w:t>
      </w:r>
    </w:p>
    <w:p w14:paraId="7E1D135B"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maintien du cadre actuel des possibilités d’intervention létale jusqu’à ce que le dispositif entré pleinement en vigueur le 1er février 2025 ait pu faire l’objet d’une évaluation suffisamment robuste, fondée sur plusieurs périodes de régulation et sur des objectifs opérationnels, des valeurs de référence et des critères de réussite clairement définis ;</w:t>
      </w:r>
    </w:p>
    <w:p w14:paraId="3C7C88FD"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l’harmonisation au niveau national de la collecte, de la documentation et de la validation des données ainsi que de la description des différentes formes d’intervention, afin de permettre des comparaisons fiables entre cantons et dans le temps et d’améliorer la mise en œuvre des interventions sur le terrain ;</w:t>
      </w:r>
    </w:p>
    <w:p w14:paraId="10A0205D"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définition objective et uniforme des critères déclenchant une intervention, notamment de la notion de contournement « répété » des mesures de protection, ainsi que la vérification documentée de la présence et de la mise en œuvre effective de ces mesures, avec une prise en compte spécifique des conditions de protection des bovins ;</w:t>
      </w:r>
    </w:p>
    <w:p w14:paraId="6A064A14"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renforcement des exigences relatives à l’identification des individus et des meutes concernés par une intervention, ainsi qu’un monitoring spécifique des zones de contact (« zones tampons ») entre meutes, avec exclusion du tir de régulation lorsque l’appartenance d’un individu à la meute visée ne peut être établie avec une fiabilité suffisante ;</w:t>
      </w:r>
    </w:p>
    <w:p w14:paraId="0E54C73F"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prise en considération explicite du statut reproducteur des individus visés, de la présence de jeunes dépendants et des conséquences prévisibles d’un abattage sur leur</w:t>
      </w:r>
      <w:r w:rsidR="00C03867">
        <w:rPr>
          <w:rFonts w:ascii="Times New Roman" w:eastAsia="Times New Roman" w:hAnsi="Times New Roman" w:cs="Times New Roman"/>
          <w:kern w:val="0"/>
          <w:lang w:eastAsia="fr-FR"/>
          <w14:ligatures w14:val="none"/>
        </w:rPr>
        <w:t xml:space="preserve"> </w:t>
      </w:r>
      <w:r w:rsidRPr="00DD70C8">
        <w:rPr>
          <w:rFonts w:ascii="Times New Roman" w:eastAsia="Times New Roman" w:hAnsi="Times New Roman" w:cs="Times New Roman"/>
          <w:kern w:val="0"/>
          <w:lang w:eastAsia="fr-FR"/>
          <w14:ligatures w14:val="none"/>
        </w:rPr>
        <w:t>survie et leur bien-être ;</w:t>
      </w:r>
    </w:p>
    <w:p w14:paraId="656C7787" w14:textId="77777777" w:rsidR="00C03867" w:rsidRDefault="00C03867" w:rsidP="00C03867">
      <w:pPr>
        <w:pStyle w:val="NormalWeb"/>
        <w:numPr>
          <w:ilvl w:val="0"/>
          <w:numId w:val="2"/>
        </w:numPr>
      </w:pPr>
      <w:r>
        <w:t>une obligation de rechercher et de documenter les facteurs anthropiques susceptibles de favoriser ou d’entretenir un comportement de proximité avec l’être humain avant qu’un tel comportement puisse justifier une autorisation de tir, notamment le nourrissage volontaire ou involontaire et l’accès à des ressources alimentaires d’origine anthropique ;</w:t>
      </w:r>
    </w:p>
    <w:p w14:paraId="0D32665D" w14:textId="77777777" w:rsidR="00C03867" w:rsidRDefault="00C03867" w:rsidP="00C03867">
      <w:pPr>
        <w:pStyle w:val="NormalWeb"/>
        <w:numPr>
          <w:ilvl w:val="0"/>
          <w:numId w:val="2"/>
        </w:numPr>
      </w:pPr>
      <w:r>
        <w:t>l’obligation, dans les secteurs fréquentés par le loup, d’éliminer ou de rendre inaccessibles les sources alimentaires anthropiques directement maîtrisables, notamment les placentas, cadavres et autres sous-produits animaux susceptibles d’attirer les loups ;</w:t>
      </w:r>
    </w:p>
    <w:p w14:paraId="618DBBF9"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 réexamen du fondement scientifique de l’effet d’apprentissage attribué à l’abattage d’un membre de la meute sur les individus survivants et la prise en considération des méthodes de conditionnement aversif direct dont le mécanisme d’apprentissage est documenté ;</w:t>
      </w:r>
    </w:p>
    <w:p w14:paraId="59F0173D" w14:textId="5F0BCC87" w:rsidR="00CD58F5" w:rsidRDefault="00DD70C8" w:rsidP="00BC1F52">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proofErr w:type="gramStart"/>
      <w:r w:rsidRPr="004E51E5">
        <w:rPr>
          <w:rFonts w:ascii="Times New Roman" w:eastAsia="Times New Roman" w:hAnsi="Times New Roman" w:cs="Times New Roman"/>
          <w:kern w:val="0"/>
          <w:lang w:eastAsia="fr-FR"/>
          <w14:ligatures w14:val="none"/>
        </w:rPr>
        <w:t>la</w:t>
      </w:r>
      <w:proofErr w:type="gramEnd"/>
      <w:r w:rsidRPr="004E51E5">
        <w:rPr>
          <w:rFonts w:ascii="Times New Roman" w:eastAsia="Times New Roman" w:hAnsi="Times New Roman" w:cs="Times New Roman"/>
          <w:kern w:val="0"/>
          <w:lang w:eastAsia="fr-FR"/>
          <w14:ligatures w14:val="none"/>
        </w:rPr>
        <w:t xml:space="preserve"> prise en compte, dans l’évaluation de la régulation, de ses effets indirects potentiels sur la physiologie, la structure sociale, l’organisation territoriale et la dynamique de la population ;</w:t>
      </w:r>
    </w:p>
    <w:p w14:paraId="62A092EB" w14:textId="77777777" w:rsidR="008765E7" w:rsidRPr="004E51E5" w:rsidRDefault="008765E7" w:rsidP="008765E7">
      <w:pPr>
        <w:spacing w:before="100" w:beforeAutospacing="1" w:after="100" w:afterAutospacing="1"/>
        <w:rPr>
          <w:rFonts w:ascii="Times New Roman" w:eastAsia="Times New Roman" w:hAnsi="Times New Roman" w:cs="Times New Roman"/>
          <w:kern w:val="0"/>
          <w:lang w:eastAsia="fr-FR"/>
          <w14:ligatures w14:val="none"/>
        </w:rPr>
      </w:pPr>
    </w:p>
    <w:p w14:paraId="1086CADD" w14:textId="1A479828" w:rsidR="00CD58F5" w:rsidRDefault="00CD58F5" w:rsidP="00CD58F5">
      <w:pPr>
        <w:pStyle w:val="NormalWeb"/>
        <w:numPr>
          <w:ilvl w:val="0"/>
          <w:numId w:val="2"/>
        </w:numPr>
      </w:pPr>
      <w:proofErr w:type="gramStart"/>
      <w:r>
        <w:lastRenderedPageBreak/>
        <w:t>la</w:t>
      </w:r>
      <w:proofErr w:type="gramEnd"/>
      <w:r>
        <w:t xml:space="preserve"> mise en place d’une réglementation fédérale uniforme imposant la prise en charge, la traçabilité et le contrôle des dépouilles de loups abattus, en interdisant leur remise aux tireurs à des fins privées ou de trophée, ainsi que les primes d’abattage. Leur conservation devrait être réservée à des finalités scientifiques, vétérinaires, pédagogiques ou muséales dûment autorisées, les autres dépouilles devant être éliminées conformément aux prescriptions applicables.</w:t>
      </w:r>
    </w:p>
    <w:p w14:paraId="25A9659B" w14:textId="77777777" w:rsidR="00CD58F5" w:rsidRDefault="00CD58F5" w:rsidP="006F7ADA">
      <w:pPr>
        <w:pStyle w:val="NormalWeb"/>
        <w:numPr>
          <w:ilvl w:val="0"/>
          <w:numId w:val="2"/>
        </w:numPr>
      </w:pPr>
      <w:r>
        <w:t>L’instauration d’une formation fédérale approfondie, obligatoire et évaluée, comprenant l'éthologie du loup, sa structure sociale, l'identification des classes d'âge et des reproducteurs, ainsi que la maîtrise des équipements thermiques et du tir nocturne. Exiger une identification fiable de l'individu et de son statut avant tout tir, fondée sur un monitoring préalable de la meute et des observations suffisamment complètes ; en cas d'incertitude, le tir doit être abandonné.</w:t>
      </w:r>
    </w:p>
    <w:p w14:paraId="334557D8" w14:textId="639A1335" w:rsidR="00DD70C8" w:rsidRPr="00CD58F5" w:rsidRDefault="00DD70C8" w:rsidP="006F7ADA">
      <w:pPr>
        <w:pStyle w:val="NormalWeb"/>
        <w:numPr>
          <w:ilvl w:val="0"/>
          <w:numId w:val="2"/>
        </w:numPr>
      </w:pPr>
      <w:proofErr w:type="gramStart"/>
      <w:r w:rsidRPr="00CD58F5">
        <w:t>l’évaluation</w:t>
      </w:r>
      <w:proofErr w:type="gramEnd"/>
      <w:r w:rsidRPr="00CD58F5">
        <w:t xml:space="preserve"> scientifique de la vasectomie ciblée de mâles reproducteurs comme méthode alternative de gestion démographique lorsque l’objectif poursuivi est de limiter la reproduction</w:t>
      </w:r>
      <w:r w:rsidR="00CD58F5">
        <w:t xml:space="preserve">, la croissance de la population ou encore la dispersion de comportements non souhaitables. Et ce </w:t>
      </w:r>
      <w:r w:rsidRPr="00CD58F5">
        <w:t>notamment au regard de son efficacité, de ses effets sur la stabilité sociale et territoriale, de l’immigration, de la protection animale et de son rapport coût-efficacité ;</w:t>
      </w:r>
    </w:p>
    <w:p w14:paraId="0647D6E8" w14:textId="77777777" w:rsidR="00DD70C8" w:rsidRPr="00DD70C8" w:rsidRDefault="00DD70C8" w:rsidP="00DD70C8">
      <w:pPr>
        <w:numPr>
          <w:ilvl w:val="0"/>
          <w:numId w:val="2"/>
        </w:num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définition objective et uniforme des critères permettant de qualifier une blessure de grave, notamment de la notion de traitement vétérinaire de longue durée.</w:t>
      </w:r>
    </w:p>
    <w:p w14:paraId="0D0C492B" w14:textId="77777777" w:rsidR="00DD70C8" w:rsidRPr="00DD70C8" w:rsidRDefault="00DD70C8" w:rsidP="00DD70C8">
      <w:pPr>
        <w:pStyle w:val="Titre2"/>
      </w:pPr>
      <w:r w:rsidRPr="00DD70C8">
        <w:t>8. Conclusion</w:t>
      </w:r>
    </w:p>
    <w:p w14:paraId="2B5FA3A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La coexistence entre les activités humaines, l’élevage et une population viable de loups nécessite des instruments de gestion efficaces. Nous reconnaissons la nécessité de pouvoir intervenir lorsqu’un individu cause effectivement des dommages importants malgré des mesures de protection adéquates ou présente un comportement réellement problématique.</w:t>
      </w:r>
    </w:p>
    <w:p w14:paraId="0F161DE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Les modifications proposées interviennent toutefois alors que le dispositif récemment introduit ne dispose pas encore du recul et des conditions d’évaluation nécessaires pour en apprécier suffisamment les effets. Elles conduiraient en outre à supprimer simultanément une limite temporelle à la régulation, pendant la période de reproduction et d’élevage des jeunes, et une limite spatiale, dans les districts francs fédéraux.</w:t>
      </w:r>
    </w:p>
    <w:p w14:paraId="5E84FCE7"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Une gestion durable du loup suppose également de pouvoir déterminer les causes des conflits, évaluer précisément les effets des interventions et distinguer les objectifs poursuivis : intervenir sur un comportement problématique, prévenir les dommages ou agir sur la dynamique démographique ne répond pas aux mêmes mécanismes et ne nécessite pas nécessairement les mêmes instruments.</w:t>
      </w:r>
    </w:p>
    <w:p w14:paraId="2EE724A7"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Dans un domaine aussi sensible, l’action publique doit pouvoir être rapide lorsqu’elle est nécessaire, mais elle doit également savoir se donner le temps d’évaluer les mesures déjà adoptées avant de les modifier à nouveau. « Aussi vite que possible, aussi lentement que nécessaire » nous paraît, à cet égard, un principe particulièrement approprié.[5]</w:t>
      </w:r>
    </w:p>
    <w:p w14:paraId="7475E25F" w14:textId="1F6B05CB" w:rsidR="00DD70C8" w:rsidRPr="00DD70C8" w:rsidRDefault="008765E7" w:rsidP="00DD70C8">
      <w:pPr>
        <w:spacing w:before="100" w:beforeAutospacing="1" w:after="100" w:afterAutospacing="1"/>
        <w:rPr>
          <w:rFonts w:ascii="Times New Roman" w:eastAsia="Times New Roman" w:hAnsi="Times New Roman" w:cs="Times New Roman"/>
          <w:kern w:val="0"/>
          <w:lang w:eastAsia="fr-FR"/>
          <w14:ligatures w14:val="none"/>
        </w:rPr>
      </w:pPr>
      <w:r>
        <w:rPr>
          <w:rFonts w:ascii="Times New Roman" w:eastAsia="Times New Roman" w:hAnsi="Times New Roman" w:cs="Times New Roman"/>
          <w:kern w:val="0"/>
          <w:lang w:eastAsia="fr-FR"/>
          <w14:ligatures w14:val="none"/>
        </w:rPr>
        <w:br/>
      </w:r>
      <w:r>
        <w:rPr>
          <w:rFonts w:ascii="Times New Roman" w:eastAsia="Times New Roman" w:hAnsi="Times New Roman" w:cs="Times New Roman"/>
          <w:kern w:val="0"/>
          <w:lang w:eastAsia="fr-FR"/>
          <w14:ligatures w14:val="none"/>
        </w:rPr>
        <w:br/>
      </w:r>
      <w:r>
        <w:rPr>
          <w:rFonts w:ascii="Times New Roman" w:eastAsia="Times New Roman" w:hAnsi="Times New Roman" w:cs="Times New Roman"/>
          <w:kern w:val="0"/>
          <w:lang w:eastAsia="fr-FR"/>
          <w14:ligatures w14:val="none"/>
        </w:rPr>
        <w:br/>
      </w:r>
      <w:r>
        <w:rPr>
          <w:rFonts w:ascii="Times New Roman" w:eastAsia="Times New Roman" w:hAnsi="Times New Roman" w:cs="Times New Roman"/>
          <w:kern w:val="0"/>
          <w:lang w:eastAsia="fr-FR"/>
          <w14:ligatures w14:val="none"/>
        </w:rPr>
        <w:br/>
      </w:r>
      <w:r>
        <w:rPr>
          <w:rFonts w:ascii="Times New Roman" w:eastAsia="Times New Roman" w:hAnsi="Times New Roman" w:cs="Times New Roman"/>
          <w:kern w:val="0"/>
          <w:lang w:eastAsia="fr-FR"/>
          <w14:ligatures w14:val="none"/>
        </w:rPr>
        <w:br/>
      </w:r>
      <w:r>
        <w:rPr>
          <w:rFonts w:ascii="Times New Roman" w:eastAsia="Times New Roman" w:hAnsi="Times New Roman" w:cs="Times New Roman"/>
          <w:kern w:val="0"/>
          <w:lang w:eastAsia="fr-FR"/>
          <w14:ligatures w14:val="none"/>
        </w:rPr>
        <w:lastRenderedPageBreak/>
        <w:br/>
      </w:r>
      <w:r w:rsidR="00DD70C8" w:rsidRPr="00DD70C8">
        <w:rPr>
          <w:rFonts w:ascii="Times New Roman" w:eastAsia="Times New Roman" w:hAnsi="Times New Roman" w:cs="Times New Roman"/>
          <w:kern w:val="0"/>
          <w:lang w:eastAsia="fr-FR"/>
          <w14:ligatures w14:val="none"/>
        </w:rPr>
        <w:t>Nous vous remercions de l’attention portée à la présente prise de position.</w:t>
      </w:r>
    </w:p>
    <w:p w14:paraId="697A5031"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Avec nos salutations distinguées,</w:t>
      </w:r>
    </w:p>
    <w:p w14:paraId="14636768" w14:textId="67CA0666" w:rsidR="00A84B34" w:rsidRDefault="00A84B34" w:rsidP="004E51E5">
      <w:pPr>
        <w:spacing w:before="100" w:beforeAutospacing="1" w:after="100" w:afterAutospacing="1"/>
        <w:rPr>
          <w:rFonts w:ascii="Times New Roman" w:eastAsia="Times New Roman" w:hAnsi="Times New Roman" w:cs="Times New Roman"/>
          <w:kern w:val="0"/>
          <w:lang w:eastAsia="fr-FR"/>
          <w14:ligatures w14:val="none"/>
        </w:rPr>
      </w:pPr>
      <w:r w:rsidRPr="00A84B34">
        <w:rPr>
          <w:rFonts w:ascii="Times New Roman" w:eastAsia="Times New Roman" w:hAnsi="Times New Roman" w:cs="Times New Roman"/>
          <w:kern w:val="0"/>
          <w:highlight w:val="yellow"/>
          <w:lang w:eastAsia="fr-FR"/>
          <w14:ligatures w14:val="none"/>
        </w:rPr>
        <w:t>Nom du responsable</w:t>
      </w:r>
      <w:r w:rsidR="007D5BA2">
        <w:rPr>
          <w:rFonts w:ascii="Times New Roman" w:eastAsia="Times New Roman" w:hAnsi="Times New Roman" w:cs="Times New Roman"/>
          <w:kern w:val="0"/>
          <w:highlight w:val="yellow"/>
          <w:lang w:eastAsia="fr-FR"/>
          <w14:ligatures w14:val="none"/>
        </w:rPr>
        <w:t xml:space="preserve"> et signature</w:t>
      </w:r>
      <w:r w:rsidRPr="00A84B34">
        <w:rPr>
          <w:rFonts w:ascii="Times New Roman" w:eastAsia="Times New Roman" w:hAnsi="Times New Roman" w:cs="Times New Roman"/>
          <w:kern w:val="0"/>
          <w:highlight w:val="yellow"/>
          <w:lang w:eastAsia="fr-FR"/>
          <w14:ligatures w14:val="none"/>
        </w:rPr>
        <w:br/>
        <w:t>Nom de l’associatio</w:t>
      </w:r>
      <w:r w:rsidR="004E51E5">
        <w:rPr>
          <w:rFonts w:ascii="Times New Roman" w:eastAsia="Times New Roman" w:hAnsi="Times New Roman" w:cs="Times New Roman"/>
          <w:kern w:val="0"/>
          <w:highlight w:val="yellow"/>
          <w:lang w:eastAsia="fr-FR"/>
          <w14:ligatures w14:val="none"/>
        </w:rPr>
        <w:t xml:space="preserve">n </w:t>
      </w:r>
      <w:r w:rsidR="004E51E5">
        <w:rPr>
          <w:rFonts w:ascii="Times New Roman" w:eastAsia="Times New Roman" w:hAnsi="Times New Roman" w:cs="Times New Roman"/>
          <w:kern w:val="0"/>
          <w:highlight w:val="yellow"/>
          <w:lang w:eastAsia="fr-FR"/>
          <w14:ligatures w14:val="none"/>
        </w:rPr>
        <w:br/>
      </w:r>
    </w:p>
    <w:p w14:paraId="39DEB0F5" w14:textId="77777777" w:rsidR="004E51E5" w:rsidRDefault="004E51E5" w:rsidP="00DD70C8">
      <w:pPr>
        <w:spacing w:before="100" w:beforeAutospacing="1" w:after="100" w:afterAutospacing="1"/>
        <w:rPr>
          <w:rFonts w:ascii="Times New Roman" w:eastAsia="Times New Roman" w:hAnsi="Times New Roman" w:cs="Times New Roman"/>
          <w:kern w:val="0"/>
          <w:lang w:eastAsia="fr-FR"/>
          <w14:ligatures w14:val="none"/>
        </w:rPr>
      </w:pPr>
    </w:p>
    <w:p w14:paraId="7CBBCE24" w14:textId="77777777" w:rsidR="004E51E5" w:rsidRDefault="004E51E5" w:rsidP="00DD70C8">
      <w:pPr>
        <w:spacing w:before="100" w:beforeAutospacing="1" w:after="100" w:afterAutospacing="1"/>
        <w:rPr>
          <w:rFonts w:ascii="Times New Roman" w:eastAsia="Times New Roman" w:hAnsi="Times New Roman" w:cs="Times New Roman"/>
          <w:kern w:val="0"/>
          <w:lang w:eastAsia="fr-FR"/>
          <w14:ligatures w14:val="none"/>
        </w:rPr>
      </w:pPr>
    </w:p>
    <w:p w14:paraId="4482C112" w14:textId="77777777" w:rsidR="00DD70C8" w:rsidRPr="00DD70C8" w:rsidRDefault="00DD70C8" w:rsidP="00DD70C8">
      <w:pPr>
        <w:pStyle w:val="Titre2"/>
      </w:pPr>
      <w:r w:rsidRPr="00DD70C8">
        <w:t>Références</w:t>
      </w:r>
    </w:p>
    <w:p w14:paraId="6735A38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[1] Conseil fédéral / Office fédéral de l’environnement (OFEV), mise en vigueur de la LChP et de l’OChP révisées au 1er février 2025 ; documentation relative aux premières périodes de régulation du loup.</w:t>
      </w:r>
    </w:p>
    <w:p w14:paraId="0FCF8A00"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[2] Assemblée fédérale, motion 25.3549 Broulis, Loup problématique appartenant à une meute. Il doit être possible d’agir !, déposée le 7 mai 2025 ; motion 25.3715 Friedli, Autoriser le tir de loups dans les districts francs, déposée le 19 juin 2025.</w:t>
      </w:r>
    </w:p>
    <w:p w14:paraId="27EDE390"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[3] Chancellerie fédérale, votation populaire du 27 septembre 2020 relative à la modification de la loi sur la chasse ; adoption de la nouvelle révision de la LChP par l’Assemblée fédérale le 16 décembre 2022.</w:t>
      </w:r>
    </w:p>
    <w:p w14:paraId="6C3FE2AD"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[4] Assemblée fédérale, objets 25.3549 et 25.3715 ; avis du Conseil fédéral, travaux des commissions et débats parlementaires relatifs aux deux motions.</w:t>
      </w:r>
    </w:p>
    <w:p w14:paraId="69E7FF1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[5] Alain Berset, conseiller fédéral, formule employée lors de la présentation de la stratégie de sortie progressive des mesures liées au COVID-19 en avril 2020 : « aussi vite que possible, aussi lentement que nécessaire ».</w:t>
      </w:r>
    </w:p>
    <w:p w14:paraId="04329D2F"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[6] Office fédéral de l’environnement (OFEV), Rapport sur les régulations de loups 2025–2026, 18 mai 2026.</w:t>
      </w:r>
    </w:p>
    <w:p w14:paraId="24C4B68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[7] Conseil fédéral / DETEC, Révision de la loi fédérale sur la chasse et la protection des mammifères et oiseaux sauvages, projet et rapport explicatif mis en consultation le 24 juin 2026 ; procédure de consultation du 24 juin au 16 octobre 2026.</w:t>
      </w:r>
    </w:p>
    <w:p w14:paraId="299BBB41" w14:textId="4B2A576E"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[8] Arlettaz R.</w:t>
      </w:r>
      <w:r w:rsidR="00520D21">
        <w:rPr>
          <w:rFonts w:ascii="Times New Roman" w:eastAsia="Times New Roman" w:hAnsi="Times New Roman" w:cs="Times New Roman"/>
          <w:kern w:val="0"/>
          <w:lang w:eastAsia="fr-FR"/>
          <w14:ligatures w14:val="none"/>
        </w:rPr>
        <w:t>, Germanier I.</w:t>
      </w:r>
      <w:r w:rsidRPr="00DD70C8">
        <w:rPr>
          <w:rFonts w:ascii="Times New Roman" w:eastAsia="Times New Roman" w:hAnsi="Times New Roman" w:cs="Times New Roman"/>
          <w:kern w:val="0"/>
          <w:lang w:eastAsia="fr-FR"/>
          <w14:ligatures w14:val="none"/>
        </w:rPr>
        <w:t>, Régulation du loup en Valais : premier bilan, risques et voies d’amélioration, fauna•vs info, n° 47, juillet 2025.</w:t>
      </w:r>
    </w:p>
    <w:p w14:paraId="566B6E66"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[9] Office fédéral de l’environnement (OFEV), bilan des régulations de loups 2023–2025, 27 mai 2025 : difficultés d’identification de l’appartenance à une meute lors de l’exécution des tirs et analyses génétiques a posteriori.</w:t>
      </w:r>
    </w:p>
    <w:p w14:paraId="72772B53"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[10] Office fédéral de l’environnement (OFEV), rapport explicatif relatif à la modification de l’ordonnance sur la chasse (OChP), commentaires relatifs aux mesures raisonnables de protection des troupeaux et à la définition des dommages.</w:t>
      </w:r>
    </w:p>
    <w:p w14:paraId="60C5FB0C"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lastRenderedPageBreak/>
        <w:t>[11] Office fédéral de l’environnement (OFEV), rapport explicatif relatif à la modification de l’OChP, commentaire de l’art. 4b, al. 3, concernant les tirs au sein de la meute et l’effet d’apprentissage recherché.</w:t>
      </w:r>
    </w:p>
    <w:p w14:paraId="263CEAC8"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[12] Bassi E. et al., A report of short-term aversive conditioning on a wolf documented through telemetry, European Journal of Wildlife Research, 69, 2023, DOI 10.1007/s10344-023-01693-z.</w:t>
      </w:r>
    </w:p>
    <w:p w14:paraId="0A07B1F5"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[13] Mech L. D., Fritts S. H. &amp; Nelson M. E. (1996), Wolf management in the 21st century: From public input to sterilization, Journal of Wildlife Research, 1(2), pp. 195–198.</w:t>
      </w:r>
    </w:p>
    <w:p w14:paraId="6442B96D"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[14] Brainerd S. M. et al., The Effects of Breeder Loss on Wolves, The Journal of Wildlife Management, 72(1), 2008, pp. 89–98, DOI 10.2193/2006-305.</w:t>
      </w:r>
    </w:p>
    <w:p w14:paraId="6ED077FE"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[15] Haight R. G. &amp; Mech L. D., Computer Simulation of Vasectomy for Wolf Control, The Journal of Wildlife Management, 61(4), 1997, pp. 1023–1031, DOI 10.2307/3802099.</w:t>
      </w:r>
    </w:p>
    <w:p w14:paraId="4E982C9B"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eastAsia="fr-FR"/>
          <w14:ligatures w14:val="none"/>
        </w:rPr>
      </w:pPr>
      <w:r w:rsidRPr="00DD70C8">
        <w:rPr>
          <w:rFonts w:ascii="Times New Roman" w:eastAsia="Times New Roman" w:hAnsi="Times New Roman" w:cs="Times New Roman"/>
          <w:kern w:val="0"/>
          <w:lang w:eastAsia="fr-FR"/>
          <w14:ligatures w14:val="none"/>
        </w:rPr>
        <w:t>[16] Office fédéral de l’environnement (OFEV), documentation consacrée au loup en Suisse, écologie et alimentation.</w:t>
      </w:r>
    </w:p>
    <w:p w14:paraId="3EF40E5A" w14:textId="77777777" w:rsidR="00DD70C8" w:rsidRPr="00DD70C8" w:rsidRDefault="00DD70C8" w:rsidP="00DD70C8">
      <w:pPr>
        <w:spacing w:before="100" w:beforeAutospacing="1" w:after="100" w:afterAutospacing="1"/>
        <w:rPr>
          <w:rFonts w:ascii="Times New Roman" w:eastAsia="Times New Roman" w:hAnsi="Times New Roman" w:cs="Times New Roman"/>
          <w:kern w:val="0"/>
          <w:lang w:val="en-US" w:eastAsia="fr-FR"/>
          <w14:ligatures w14:val="none"/>
        </w:rPr>
      </w:pPr>
      <w:r w:rsidRPr="00DD70C8">
        <w:rPr>
          <w:rFonts w:ascii="Times New Roman" w:eastAsia="Times New Roman" w:hAnsi="Times New Roman" w:cs="Times New Roman"/>
          <w:kern w:val="0"/>
          <w:lang w:val="en-US" w:eastAsia="fr-FR"/>
          <w14:ligatures w14:val="none"/>
        </w:rPr>
        <w:t>[17] Bryan H. M., Smits J. E. G., Koren L., Paquet P. C., Wynne-Edwards K. E. &amp; Musiani M. (2015), Heavily hunted wolves have higher stress and reproductive steroids than wolves with lower hunting pressure, Functional Ecology, 29, pp. 347–356, DOI 10.1111/1365-2435.12354.</w:t>
      </w:r>
    </w:p>
    <w:p w14:paraId="33D75695" w14:textId="0C445FCF" w:rsidR="0066258A" w:rsidRPr="008765E7" w:rsidRDefault="003B304F">
      <w:pPr>
        <w:rPr>
          <w:rFonts w:ascii="Times New Roman" w:hAnsi="Times New Roman" w:cs="Times New Roman"/>
          <w:lang w:val="en-GB"/>
        </w:rPr>
      </w:pPr>
      <w:r w:rsidRPr="007D6250">
        <w:rPr>
          <w:rStyle w:val="lev"/>
          <w:rFonts w:ascii="Times New Roman" w:hAnsi="Times New Roman" w:cs="Times New Roman"/>
          <w:b w:val="0"/>
          <w:bCs w:val="0"/>
          <w:lang w:val="en-US"/>
        </w:rPr>
        <w:t>[18]</w:t>
      </w:r>
      <w:r w:rsidRPr="007D6250">
        <w:rPr>
          <w:rFonts w:ascii="Times New Roman" w:hAnsi="Times New Roman" w:cs="Times New Roman"/>
          <w:lang w:val="en-US"/>
        </w:rPr>
        <w:t xml:space="preserve"> Environment Yukon (2011), </w:t>
      </w:r>
      <w:r w:rsidRPr="007D6250">
        <w:rPr>
          <w:rStyle w:val="Accentuation"/>
          <w:rFonts w:ascii="Times New Roman" w:hAnsi="Times New Roman" w:cs="Times New Roman"/>
          <w:lang w:val="en-US"/>
        </w:rPr>
        <w:t xml:space="preserve">Can non-lethal methods effectively reduce wolf numbers? </w:t>
      </w:r>
      <w:r w:rsidRPr="008765E7">
        <w:rPr>
          <w:rStyle w:val="Accentuation"/>
          <w:rFonts w:ascii="Times New Roman" w:hAnsi="Times New Roman" w:cs="Times New Roman"/>
          <w:lang w:val="en-GB"/>
        </w:rPr>
        <w:t xml:space="preserve">Results of the </w:t>
      </w:r>
      <w:proofErr w:type="spellStart"/>
      <w:r w:rsidRPr="008765E7">
        <w:rPr>
          <w:rStyle w:val="Accentuation"/>
          <w:rFonts w:ascii="Times New Roman" w:hAnsi="Times New Roman" w:cs="Times New Roman"/>
          <w:lang w:val="en-GB"/>
        </w:rPr>
        <w:t>Aishihik</w:t>
      </w:r>
      <w:proofErr w:type="spellEnd"/>
      <w:r w:rsidRPr="008765E7">
        <w:rPr>
          <w:rStyle w:val="Accentuation"/>
          <w:rFonts w:ascii="Times New Roman" w:hAnsi="Times New Roman" w:cs="Times New Roman"/>
          <w:lang w:val="en-GB"/>
        </w:rPr>
        <w:t xml:space="preserve"> wolf fertility control experiment</w:t>
      </w:r>
      <w:r w:rsidRPr="008765E7">
        <w:rPr>
          <w:rFonts w:ascii="Times New Roman" w:hAnsi="Times New Roman" w:cs="Times New Roman"/>
          <w:lang w:val="en-GB"/>
        </w:rPr>
        <w:t>, Yukon Fish and Wildlife Branch Technical Report TR-11-02, Whiteh</w:t>
      </w:r>
      <w:r w:rsidR="00887488" w:rsidRPr="008765E7">
        <w:rPr>
          <w:lang w:val="en-GB"/>
        </w:rPr>
        <w:t xml:space="preserve"> </w:t>
      </w:r>
      <w:r w:rsidR="00887488" w:rsidRPr="008765E7">
        <w:rPr>
          <w:rFonts w:ascii="Times New Roman" w:hAnsi="Times New Roman" w:cs="Times New Roman"/>
          <w:lang w:val="en-GB"/>
        </w:rPr>
        <w:t xml:space="preserve">Messieurs </w:t>
      </w:r>
      <w:proofErr w:type="spellStart"/>
      <w:r w:rsidR="00887488" w:rsidRPr="008765E7">
        <w:rPr>
          <w:rFonts w:ascii="Times New Roman" w:hAnsi="Times New Roman" w:cs="Times New Roman"/>
          <w:lang w:val="en-GB"/>
        </w:rPr>
        <w:t>Micheloud</w:t>
      </w:r>
      <w:proofErr w:type="spellEnd"/>
      <w:r w:rsidR="00887488" w:rsidRPr="008765E7">
        <w:rPr>
          <w:rFonts w:ascii="Times New Roman" w:hAnsi="Times New Roman" w:cs="Times New Roman"/>
          <w:lang w:val="en-GB"/>
        </w:rPr>
        <w:t xml:space="preserve"> &amp; </w:t>
      </w:r>
      <w:proofErr w:type="spellStart"/>
      <w:r w:rsidR="00887488" w:rsidRPr="008765E7">
        <w:rPr>
          <w:rFonts w:ascii="Times New Roman" w:hAnsi="Times New Roman" w:cs="Times New Roman"/>
          <w:lang w:val="en-GB"/>
        </w:rPr>
        <w:t>Logean</w:t>
      </w:r>
      <w:proofErr w:type="spellEnd"/>
      <w:r w:rsidR="00887488" w:rsidRPr="008765E7">
        <w:rPr>
          <w:rFonts w:ascii="Times New Roman" w:hAnsi="Times New Roman" w:cs="Times New Roman"/>
          <w:lang w:val="en-GB"/>
        </w:rPr>
        <w:br/>
      </w:r>
      <w:r w:rsidR="00887488" w:rsidRPr="008765E7">
        <w:rPr>
          <w:rFonts w:ascii="Times New Roman" w:hAnsi="Times New Roman" w:cs="Times New Roman"/>
          <w:lang w:val="en-GB"/>
        </w:rPr>
        <w:br/>
      </w:r>
      <w:r w:rsidR="00887488" w:rsidRPr="008765E7">
        <w:rPr>
          <w:rFonts w:ascii="Times New Roman" w:hAnsi="Times New Roman" w:cs="Times New Roman"/>
          <w:lang w:val="en-GB"/>
        </w:rPr>
        <w:br/>
      </w:r>
      <w:r w:rsidR="00887488" w:rsidRPr="008765E7">
        <w:rPr>
          <w:rFonts w:ascii="Times New Roman" w:hAnsi="Times New Roman" w:cs="Times New Roman"/>
          <w:lang w:val="en-GB"/>
        </w:rPr>
        <w:br/>
      </w:r>
    </w:p>
    <w:sectPr w:rsidR="0066258A" w:rsidRPr="008765E7" w:rsidSect="00CD58F5">
      <w:pgSz w:w="11906" w:h="16838"/>
      <w:pgMar w:top="1304" w:right="1418" w:bottom="130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7302"/>
    <w:multiLevelType w:val="multilevel"/>
    <w:tmpl w:val="CDD88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63658E"/>
    <w:multiLevelType w:val="multilevel"/>
    <w:tmpl w:val="88780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06377346">
    <w:abstractNumId w:val="0"/>
  </w:num>
  <w:num w:numId="2" w16cid:durableId="15238627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0C8"/>
    <w:rsid w:val="00154475"/>
    <w:rsid w:val="00311F0D"/>
    <w:rsid w:val="00386BAB"/>
    <w:rsid w:val="003B304F"/>
    <w:rsid w:val="003B5438"/>
    <w:rsid w:val="00434FC8"/>
    <w:rsid w:val="004E4D98"/>
    <w:rsid w:val="004E51E5"/>
    <w:rsid w:val="005016F3"/>
    <w:rsid w:val="00520D21"/>
    <w:rsid w:val="00580F92"/>
    <w:rsid w:val="0066258A"/>
    <w:rsid w:val="007A1766"/>
    <w:rsid w:val="007D5BA2"/>
    <w:rsid w:val="007D6250"/>
    <w:rsid w:val="00804CC9"/>
    <w:rsid w:val="00807C68"/>
    <w:rsid w:val="008765E7"/>
    <w:rsid w:val="00887488"/>
    <w:rsid w:val="00937217"/>
    <w:rsid w:val="009727A2"/>
    <w:rsid w:val="00A84B34"/>
    <w:rsid w:val="00C03867"/>
    <w:rsid w:val="00CD58F5"/>
    <w:rsid w:val="00DD70C8"/>
    <w:rsid w:val="00F11DE1"/>
    <w:rsid w:val="00F26CA2"/>
    <w:rsid w:val="00F318A5"/>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9045E"/>
  <w15:chartTrackingRefBased/>
  <w15:docId w15:val="{56CB69D0-B531-FB40-95EC-0D90967657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CH"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link w:val="Titre1Car"/>
    <w:uiPriority w:val="9"/>
    <w:qFormat/>
    <w:rsid w:val="00DD70C8"/>
    <w:pPr>
      <w:spacing w:before="100" w:beforeAutospacing="1" w:after="100" w:afterAutospacing="1"/>
      <w:outlineLvl w:val="0"/>
    </w:pPr>
    <w:rPr>
      <w:rFonts w:ascii="Times New Roman" w:eastAsia="Times New Roman" w:hAnsi="Times New Roman" w:cs="Times New Roman"/>
      <w:b/>
      <w:bCs/>
      <w:kern w:val="36"/>
      <w:sz w:val="48"/>
      <w:szCs w:val="48"/>
      <w:lang w:eastAsia="fr-FR"/>
      <w14:ligatures w14:val="none"/>
    </w:rPr>
  </w:style>
  <w:style w:type="paragraph" w:styleId="Titre2">
    <w:name w:val="heading 2"/>
    <w:basedOn w:val="Normal"/>
    <w:link w:val="Titre2Car"/>
    <w:uiPriority w:val="9"/>
    <w:qFormat/>
    <w:rsid w:val="00DD70C8"/>
    <w:pPr>
      <w:spacing w:before="100" w:beforeAutospacing="1" w:after="100" w:afterAutospacing="1"/>
      <w:outlineLvl w:val="1"/>
    </w:pPr>
    <w:rPr>
      <w:rFonts w:ascii="Times New Roman" w:eastAsia="Times New Roman" w:hAnsi="Times New Roman" w:cs="Times New Roman"/>
      <w:b/>
      <w:bCs/>
      <w:kern w:val="0"/>
      <w:sz w:val="28"/>
      <w:szCs w:val="36"/>
      <w:lang w:eastAsia="fr-FR"/>
      <w14:ligatures w14:val="none"/>
    </w:rPr>
  </w:style>
  <w:style w:type="paragraph" w:styleId="Titre3">
    <w:name w:val="heading 3"/>
    <w:basedOn w:val="Normal"/>
    <w:link w:val="Titre3Car"/>
    <w:uiPriority w:val="9"/>
    <w:qFormat/>
    <w:rsid w:val="00DD70C8"/>
    <w:pPr>
      <w:spacing w:before="100" w:beforeAutospacing="1" w:after="100" w:afterAutospacing="1"/>
      <w:outlineLvl w:val="2"/>
    </w:pPr>
    <w:rPr>
      <w:rFonts w:ascii="Times New Roman" w:eastAsia="Times New Roman" w:hAnsi="Times New Roman" w:cs="Times New Roman"/>
      <w:b/>
      <w:bCs/>
      <w:kern w:val="0"/>
      <w:szCs w:val="27"/>
      <w:lang w:eastAsia="fr-FR"/>
      <w14:ligatures w14:val="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D70C8"/>
    <w:rPr>
      <w:rFonts w:ascii="Times New Roman" w:eastAsia="Times New Roman" w:hAnsi="Times New Roman" w:cs="Times New Roman"/>
      <w:b/>
      <w:bCs/>
      <w:kern w:val="36"/>
      <w:sz w:val="48"/>
      <w:szCs w:val="48"/>
      <w:lang w:eastAsia="fr-FR"/>
      <w14:ligatures w14:val="none"/>
    </w:rPr>
  </w:style>
  <w:style w:type="character" w:customStyle="1" w:styleId="Titre2Car">
    <w:name w:val="Titre 2 Car"/>
    <w:basedOn w:val="Policepardfaut"/>
    <w:link w:val="Titre2"/>
    <w:uiPriority w:val="9"/>
    <w:rsid w:val="00DD70C8"/>
    <w:rPr>
      <w:rFonts w:ascii="Times New Roman" w:eastAsia="Times New Roman" w:hAnsi="Times New Roman" w:cs="Times New Roman"/>
      <w:b/>
      <w:bCs/>
      <w:kern w:val="0"/>
      <w:sz w:val="28"/>
      <w:szCs w:val="36"/>
      <w:lang w:eastAsia="fr-FR"/>
      <w14:ligatures w14:val="none"/>
    </w:rPr>
  </w:style>
  <w:style w:type="character" w:customStyle="1" w:styleId="Titre3Car">
    <w:name w:val="Titre 3 Car"/>
    <w:basedOn w:val="Policepardfaut"/>
    <w:link w:val="Titre3"/>
    <w:uiPriority w:val="9"/>
    <w:rsid w:val="00DD70C8"/>
    <w:rPr>
      <w:rFonts w:ascii="Times New Roman" w:eastAsia="Times New Roman" w:hAnsi="Times New Roman" w:cs="Times New Roman"/>
      <w:b/>
      <w:bCs/>
      <w:kern w:val="0"/>
      <w:szCs w:val="27"/>
      <w:lang w:eastAsia="fr-FR"/>
      <w14:ligatures w14:val="none"/>
    </w:rPr>
  </w:style>
  <w:style w:type="paragraph" w:styleId="NormalWeb">
    <w:name w:val="Normal (Web)"/>
    <w:basedOn w:val="Normal"/>
    <w:uiPriority w:val="99"/>
    <w:unhideWhenUsed/>
    <w:rsid w:val="00DD70C8"/>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3B304F"/>
    <w:rPr>
      <w:b/>
      <w:bCs/>
    </w:rPr>
  </w:style>
  <w:style w:type="character" w:styleId="Accentuation">
    <w:name w:val="Emphasis"/>
    <w:basedOn w:val="Policepardfaut"/>
    <w:uiPriority w:val="20"/>
    <w:qFormat/>
    <w:rsid w:val="003B304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2052144">
      <w:bodyDiv w:val="1"/>
      <w:marLeft w:val="0"/>
      <w:marRight w:val="0"/>
      <w:marTop w:val="0"/>
      <w:marBottom w:val="0"/>
      <w:divBdr>
        <w:top w:val="none" w:sz="0" w:space="0" w:color="auto"/>
        <w:left w:val="none" w:sz="0" w:space="0" w:color="auto"/>
        <w:bottom w:val="none" w:sz="0" w:space="0" w:color="auto"/>
        <w:right w:val="none" w:sz="0" w:space="0" w:color="auto"/>
      </w:divBdr>
    </w:div>
    <w:div w:id="985473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1125</TotalTime>
  <Pages>14</Pages>
  <Words>6236</Words>
  <Characters>34303</Characters>
  <Application>Microsoft Office Word</Application>
  <DocSecurity>0</DocSecurity>
  <Lines>285</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Colette</dc:creator>
  <cp:keywords/>
  <dc:description/>
  <cp:lastModifiedBy>Edward Germanier</cp:lastModifiedBy>
  <cp:revision>7</cp:revision>
  <dcterms:created xsi:type="dcterms:W3CDTF">2026-10-08T08:51:00Z</dcterms:created>
  <dcterms:modified xsi:type="dcterms:W3CDTF">2026-10-09T11:45:00Z</dcterms:modified>
</cp:coreProperties>
</file>